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AE2E" w14:textId="06E9AE6F" w:rsidR="002E26F4" w:rsidRDefault="002E26F4" w:rsidP="00D848BE">
      <w:pPr>
        <w:spacing w:line="276" w:lineRule="auto"/>
        <w:rPr>
          <w:rFonts w:asciiTheme="majorBidi" w:hAnsiTheme="majorBidi" w:cstheme="majorBidi"/>
          <w:b/>
          <w:bCs/>
          <w:sz w:val="28"/>
          <w:szCs w:val="28"/>
          <w:lang w:val="en-GB"/>
        </w:rPr>
      </w:pPr>
      <w:r w:rsidRPr="00BC434D">
        <w:rPr>
          <w:rFonts w:asciiTheme="majorBidi" w:hAnsiTheme="majorBidi" w:cstheme="majorBidi"/>
          <w:b/>
          <w:bCs/>
          <w:sz w:val="28"/>
          <w:szCs w:val="28"/>
          <w:lang w:val="en-GB"/>
        </w:rPr>
        <w:t xml:space="preserve">Post-mortem privacy </w:t>
      </w:r>
      <w:r w:rsidR="003B34F7" w:rsidRPr="00BC434D">
        <w:rPr>
          <w:rFonts w:asciiTheme="majorBidi" w:hAnsiTheme="majorBidi" w:cstheme="majorBidi"/>
          <w:b/>
          <w:bCs/>
          <w:sz w:val="28"/>
          <w:szCs w:val="28"/>
          <w:lang w:val="en-GB"/>
        </w:rPr>
        <w:t>and the</w:t>
      </w:r>
      <w:r w:rsidRPr="00BC434D">
        <w:rPr>
          <w:rFonts w:asciiTheme="majorBidi" w:hAnsiTheme="majorBidi" w:cstheme="majorBidi"/>
          <w:b/>
          <w:bCs/>
          <w:sz w:val="28"/>
          <w:szCs w:val="28"/>
          <w:lang w:val="en-GB"/>
        </w:rPr>
        <w:t xml:space="preserve"> latest GDPR legislative shifts </w:t>
      </w:r>
    </w:p>
    <w:p w14:paraId="27DF3168" w14:textId="27751A83" w:rsidR="00BA66E8" w:rsidRPr="00BA66E8" w:rsidRDefault="006F5D15" w:rsidP="008204F5">
      <w:pPr>
        <w:spacing w:line="276" w:lineRule="auto"/>
        <w:rPr>
          <w:rFonts w:asciiTheme="majorBidi" w:hAnsiTheme="majorBidi" w:cstheme="majorBidi"/>
          <w:b/>
          <w:bCs/>
          <w:sz w:val="24"/>
          <w:szCs w:val="24"/>
          <w:lang w:val="en-GB"/>
        </w:rPr>
      </w:pPr>
      <w:commentRangeStart w:id="0"/>
      <w:r w:rsidRPr="006F5D15">
        <w:rPr>
          <w:rFonts w:asciiTheme="majorBidi" w:hAnsiTheme="majorBidi" w:cstheme="majorBidi"/>
          <w:b/>
          <w:bCs/>
          <w:sz w:val="24"/>
          <w:szCs w:val="24"/>
          <w:lang w:val="en-GB"/>
        </w:rPr>
        <w:t>Marta Terletska</w:t>
      </w:r>
      <w:commentRangeEnd w:id="0"/>
      <w:r w:rsidR="00810E36">
        <w:rPr>
          <w:rStyle w:val="CommentReference"/>
        </w:rPr>
        <w:commentReference w:id="0"/>
      </w:r>
      <w:r w:rsidR="009C41FE">
        <w:rPr>
          <w:rStyle w:val="FootnoteReference"/>
          <w:rFonts w:asciiTheme="majorBidi" w:hAnsiTheme="majorBidi" w:cstheme="majorBidi"/>
          <w:b/>
          <w:bCs/>
          <w:sz w:val="24"/>
          <w:szCs w:val="24"/>
          <w:lang w:val="en-GB"/>
        </w:rPr>
        <w:footnoteReference w:id="1"/>
      </w:r>
      <w:r w:rsidR="008204F5">
        <w:rPr>
          <w:rFonts w:asciiTheme="majorBidi" w:hAnsiTheme="majorBidi" w:cstheme="majorBidi"/>
          <w:b/>
          <w:bCs/>
          <w:sz w:val="24"/>
          <w:szCs w:val="24"/>
          <w:lang w:val="en-GB"/>
        </w:rPr>
        <w:br/>
      </w:r>
      <w:r w:rsidR="00BA66E8" w:rsidRPr="00BA66E8">
        <w:rPr>
          <w:rFonts w:asciiTheme="majorBidi" w:hAnsiTheme="majorBidi" w:cstheme="majorBidi"/>
          <w:b/>
          <w:bCs/>
          <w:sz w:val="24"/>
          <w:szCs w:val="24"/>
          <w:lang w:val="en-GB"/>
        </w:rPr>
        <w:t>Tallinn University of Technology</w:t>
      </w:r>
      <w:r w:rsidR="009C41FE">
        <w:rPr>
          <w:rFonts w:asciiTheme="majorBidi" w:hAnsiTheme="majorBidi" w:cstheme="majorBidi"/>
          <w:b/>
          <w:bCs/>
          <w:sz w:val="24"/>
          <w:szCs w:val="24"/>
          <w:lang w:val="en-GB"/>
        </w:rPr>
        <w:t xml:space="preserve">, </w:t>
      </w:r>
      <w:r w:rsidR="00BA66E8" w:rsidRPr="00BA66E8">
        <w:rPr>
          <w:rFonts w:asciiTheme="majorBidi" w:hAnsiTheme="majorBidi" w:cstheme="majorBidi"/>
          <w:b/>
          <w:bCs/>
          <w:sz w:val="24"/>
          <w:szCs w:val="24"/>
          <w:lang w:val="en-GB"/>
        </w:rPr>
        <w:t xml:space="preserve"> Estonia</w:t>
      </w:r>
      <w:r w:rsidR="008204F5">
        <w:rPr>
          <w:rFonts w:asciiTheme="majorBidi" w:hAnsiTheme="majorBidi" w:cstheme="majorBidi"/>
          <w:b/>
          <w:bCs/>
          <w:sz w:val="24"/>
          <w:szCs w:val="24"/>
          <w:lang w:val="en-GB"/>
        </w:rPr>
        <w:br/>
      </w:r>
    </w:p>
    <w:p w14:paraId="644CD558" w14:textId="77777777" w:rsidR="006F5D15" w:rsidRPr="00BC434D" w:rsidRDefault="006F5D15" w:rsidP="00D848BE">
      <w:pPr>
        <w:spacing w:line="276" w:lineRule="auto"/>
        <w:rPr>
          <w:rFonts w:asciiTheme="majorBidi" w:hAnsiTheme="majorBidi" w:cstheme="majorBidi"/>
          <w:b/>
          <w:bCs/>
          <w:sz w:val="28"/>
          <w:szCs w:val="28"/>
          <w:lang w:val="en-GB"/>
        </w:rPr>
      </w:pPr>
    </w:p>
    <w:p w14:paraId="74061176" w14:textId="1B6CEA19" w:rsidR="006D347D" w:rsidRDefault="006D347D" w:rsidP="00D848BE">
      <w:pPr>
        <w:spacing w:line="276" w:lineRule="auto"/>
        <w:rPr>
          <w:rFonts w:asciiTheme="majorBidi" w:hAnsiTheme="majorBidi" w:cstheme="majorBidi"/>
          <w:b/>
          <w:bCs/>
          <w:i/>
          <w:iCs/>
          <w:sz w:val="24"/>
          <w:szCs w:val="24"/>
          <w:lang w:val="en-GB"/>
        </w:rPr>
      </w:pPr>
      <w:r w:rsidRPr="00FF31C8">
        <w:rPr>
          <w:rFonts w:asciiTheme="majorBidi" w:hAnsiTheme="majorBidi" w:cstheme="majorBidi"/>
          <w:b/>
          <w:bCs/>
          <w:i/>
          <w:iCs/>
          <w:sz w:val="24"/>
          <w:szCs w:val="24"/>
          <w:lang w:val="en-GB"/>
        </w:rPr>
        <w:t>Abstract</w:t>
      </w:r>
      <w:r w:rsidR="00BC434D" w:rsidRPr="00FF31C8">
        <w:rPr>
          <w:rFonts w:asciiTheme="majorBidi" w:hAnsiTheme="majorBidi" w:cstheme="majorBidi"/>
          <w:b/>
          <w:bCs/>
          <w:i/>
          <w:iCs/>
          <w:sz w:val="24"/>
          <w:szCs w:val="24"/>
          <w:lang w:val="en-GB"/>
        </w:rPr>
        <w:t>:</w:t>
      </w:r>
    </w:p>
    <w:p w14:paraId="3C9B0C7D" w14:textId="08FD1C3C" w:rsidR="005D47EE" w:rsidRPr="005D47EE" w:rsidRDefault="005D47EE" w:rsidP="00D848BE">
      <w:pPr>
        <w:spacing w:line="276" w:lineRule="auto"/>
        <w:rPr>
          <w:rFonts w:asciiTheme="majorBidi" w:hAnsiTheme="majorBidi" w:cstheme="majorBidi"/>
          <w:i/>
          <w:iCs/>
          <w:sz w:val="24"/>
          <w:szCs w:val="24"/>
          <w:lang w:val="en-GB"/>
        </w:rPr>
      </w:pPr>
      <w:r w:rsidRPr="005D47EE">
        <w:rPr>
          <w:rFonts w:asciiTheme="majorBidi" w:hAnsiTheme="majorBidi" w:cstheme="majorBidi"/>
          <w:i/>
          <w:iCs/>
          <w:sz w:val="24"/>
          <w:szCs w:val="24"/>
          <w:lang w:val="en-GB"/>
        </w:rPr>
        <w:t>The decision in the LG Berlin Facebook case caused a fierce debate in the field of digital inheritance and became the first in a number of cases throughout Europe on the issue of access to the accounts of deceased relatives by their heirs. On the contrary, the issue of posthumous privacy, which is inseparably interconnected to a digital succession, has not received such comprehensive research, and is lacking it in the context of the civil legal system, and the EU in particular. This study systematises the knowledge about and the right to decide the fate of the assets by a legal predecessor after no longer being in a position to exercise human autonomy and contextualises it within the framework of recent regulatory developments, namely the implementation of GDPR for the protection of post-mortem data and recent relevant case-laws.</w:t>
      </w:r>
    </w:p>
    <w:p w14:paraId="543A55B3" w14:textId="0BF822AF" w:rsidR="006D347D" w:rsidRPr="00FF31C8" w:rsidRDefault="006D347D" w:rsidP="00D848BE">
      <w:pPr>
        <w:spacing w:line="276" w:lineRule="auto"/>
        <w:rPr>
          <w:rFonts w:asciiTheme="majorBidi" w:hAnsiTheme="majorBidi" w:cstheme="majorBidi"/>
          <w:b/>
          <w:bCs/>
          <w:i/>
          <w:iCs/>
          <w:sz w:val="24"/>
          <w:szCs w:val="24"/>
          <w:lang w:val="en-GB"/>
        </w:rPr>
      </w:pPr>
      <w:r w:rsidRPr="00FF31C8">
        <w:rPr>
          <w:rFonts w:asciiTheme="majorBidi" w:hAnsiTheme="majorBidi" w:cstheme="majorBidi"/>
          <w:b/>
          <w:bCs/>
          <w:i/>
          <w:iCs/>
          <w:sz w:val="24"/>
          <w:szCs w:val="24"/>
          <w:lang w:val="en-GB"/>
        </w:rPr>
        <w:t xml:space="preserve">Keywords: </w:t>
      </w:r>
      <w:r w:rsidR="002D0231" w:rsidRPr="002D0231">
        <w:rPr>
          <w:rFonts w:asciiTheme="majorBidi" w:hAnsiTheme="majorBidi" w:cstheme="majorBidi"/>
          <w:i/>
          <w:iCs/>
          <w:sz w:val="24"/>
          <w:szCs w:val="24"/>
          <w:lang w:val="en-GB"/>
        </w:rPr>
        <w:t>EU, post-mortem privacy, posthumous privacy, digital assets, GDPR post-mortem, social media accounts post-mortem.</w:t>
      </w:r>
    </w:p>
    <w:p w14:paraId="08ED3A65" w14:textId="4D65104C" w:rsidR="00641E23" w:rsidRPr="00BC434D" w:rsidRDefault="009551EC" w:rsidP="00D848BE">
      <w:pPr>
        <w:pStyle w:val="Heading1"/>
        <w:spacing w:line="276" w:lineRule="auto"/>
        <w:rPr>
          <w:rFonts w:asciiTheme="majorBidi" w:hAnsiTheme="majorBidi"/>
          <w:b/>
          <w:bCs/>
          <w:color w:val="auto"/>
          <w:sz w:val="24"/>
          <w:szCs w:val="24"/>
          <w:lang w:val="en-GB"/>
        </w:rPr>
      </w:pPr>
      <w:r w:rsidRPr="00BC434D">
        <w:rPr>
          <w:rFonts w:asciiTheme="majorBidi" w:hAnsiTheme="majorBidi"/>
          <w:b/>
          <w:bCs/>
          <w:color w:val="auto"/>
          <w:sz w:val="24"/>
          <w:szCs w:val="24"/>
          <w:lang w:val="en-GB"/>
        </w:rPr>
        <w:t>Introduction</w:t>
      </w:r>
      <w:r w:rsidR="001D43C1" w:rsidRPr="00BC434D">
        <w:rPr>
          <w:rFonts w:asciiTheme="majorBidi" w:hAnsiTheme="majorBidi"/>
          <w:b/>
          <w:bCs/>
          <w:color w:val="auto"/>
          <w:sz w:val="24"/>
          <w:szCs w:val="24"/>
          <w:lang w:val="en-GB"/>
        </w:rPr>
        <w:t xml:space="preserve">: </w:t>
      </w:r>
      <w:r w:rsidR="00033282" w:rsidRPr="00BC434D">
        <w:rPr>
          <w:rFonts w:asciiTheme="majorBidi" w:hAnsiTheme="majorBidi"/>
          <w:b/>
          <w:bCs/>
          <w:color w:val="auto"/>
          <w:sz w:val="24"/>
          <w:szCs w:val="24"/>
          <w:lang w:val="en-GB"/>
        </w:rPr>
        <w:t>Defining</w:t>
      </w:r>
      <w:r w:rsidR="00BC6601" w:rsidRPr="00BC434D">
        <w:rPr>
          <w:rFonts w:asciiTheme="majorBidi" w:hAnsiTheme="majorBidi"/>
          <w:b/>
          <w:bCs/>
          <w:color w:val="auto"/>
          <w:sz w:val="24"/>
          <w:szCs w:val="24"/>
          <w:lang w:val="en-GB"/>
        </w:rPr>
        <w:t xml:space="preserve"> </w:t>
      </w:r>
      <w:r w:rsidR="00033282" w:rsidRPr="00BC434D">
        <w:rPr>
          <w:rFonts w:asciiTheme="majorBidi" w:hAnsiTheme="majorBidi"/>
          <w:b/>
          <w:bCs/>
          <w:color w:val="auto"/>
          <w:sz w:val="24"/>
          <w:szCs w:val="24"/>
          <w:lang w:val="en-GB"/>
        </w:rPr>
        <w:t>post-mortem privacy</w:t>
      </w:r>
      <w:r w:rsidR="00663DD5" w:rsidRPr="00BC434D">
        <w:rPr>
          <w:rFonts w:asciiTheme="majorBidi" w:hAnsiTheme="majorBidi"/>
          <w:b/>
          <w:bCs/>
          <w:color w:val="auto"/>
          <w:sz w:val="24"/>
          <w:szCs w:val="24"/>
          <w:lang w:val="en-GB"/>
        </w:rPr>
        <w:br/>
      </w:r>
    </w:p>
    <w:p w14:paraId="51BAA1C3" w14:textId="7882FA29" w:rsidR="00531C8E" w:rsidRPr="00BC434D" w:rsidRDefault="00BF7496"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 xml:space="preserve">Post-mortem privacy is not </w:t>
      </w:r>
      <w:r w:rsidR="00415704" w:rsidRPr="00BC434D">
        <w:rPr>
          <w:rFonts w:asciiTheme="majorBidi" w:hAnsiTheme="majorBidi" w:cstheme="majorBidi"/>
          <w:sz w:val="24"/>
          <w:szCs w:val="24"/>
          <w:lang w:val="en-GB"/>
        </w:rPr>
        <w:t xml:space="preserve">a legal term or category. </w:t>
      </w:r>
      <w:r w:rsidR="00880F47" w:rsidRPr="00BC434D">
        <w:rPr>
          <w:rFonts w:asciiTheme="majorBidi" w:hAnsiTheme="majorBidi" w:cstheme="majorBidi"/>
          <w:sz w:val="24"/>
          <w:szCs w:val="24"/>
          <w:lang w:val="en-GB"/>
        </w:rPr>
        <w:t xml:space="preserve">At </w:t>
      </w:r>
      <w:r w:rsidR="0018154C" w:rsidRPr="00BC434D">
        <w:rPr>
          <w:rFonts w:asciiTheme="majorBidi" w:hAnsiTheme="majorBidi" w:cstheme="majorBidi"/>
          <w:sz w:val="24"/>
          <w:szCs w:val="24"/>
          <w:lang w:val="en-GB"/>
        </w:rPr>
        <w:t>the</w:t>
      </w:r>
      <w:r w:rsidR="00880F47" w:rsidRPr="00BC434D">
        <w:rPr>
          <w:rFonts w:asciiTheme="majorBidi" w:hAnsiTheme="majorBidi" w:cstheme="majorBidi"/>
          <w:sz w:val="24"/>
          <w:szCs w:val="24"/>
          <w:lang w:val="en-GB"/>
        </w:rPr>
        <w:t xml:space="preserve"> current stage of legislative development p</w:t>
      </w:r>
      <w:r w:rsidR="00033282" w:rsidRPr="00BC434D">
        <w:rPr>
          <w:rFonts w:asciiTheme="majorBidi" w:hAnsiTheme="majorBidi" w:cstheme="majorBidi"/>
          <w:sz w:val="24"/>
          <w:szCs w:val="24"/>
          <w:lang w:val="en-GB"/>
        </w:rPr>
        <w:t>ost-mortem</w:t>
      </w:r>
      <w:r w:rsidR="0018154C" w:rsidRPr="00BC434D">
        <w:rPr>
          <w:rFonts w:asciiTheme="majorBidi" w:hAnsiTheme="majorBidi" w:cstheme="majorBidi"/>
          <w:sz w:val="24"/>
          <w:szCs w:val="24"/>
          <w:lang w:val="en-GB"/>
        </w:rPr>
        <w:t>,</w:t>
      </w:r>
      <w:r w:rsidR="00033282" w:rsidRPr="00BC434D">
        <w:rPr>
          <w:rFonts w:asciiTheme="majorBidi" w:hAnsiTheme="majorBidi" w:cstheme="majorBidi"/>
          <w:sz w:val="24"/>
          <w:szCs w:val="24"/>
          <w:lang w:val="en-GB"/>
        </w:rPr>
        <w:t xml:space="preserve"> privacy is</w:t>
      </w:r>
      <w:r w:rsidR="00880F47" w:rsidRPr="00BC434D">
        <w:rPr>
          <w:rFonts w:asciiTheme="majorBidi" w:hAnsiTheme="majorBidi" w:cstheme="majorBidi"/>
          <w:sz w:val="24"/>
          <w:szCs w:val="24"/>
          <w:lang w:val="en-GB"/>
        </w:rPr>
        <w:t xml:space="preserve"> still a</w:t>
      </w:r>
      <w:r w:rsidR="006B122B" w:rsidRPr="00BC434D">
        <w:rPr>
          <w:rFonts w:asciiTheme="majorBidi" w:hAnsiTheme="majorBidi" w:cstheme="majorBidi"/>
          <w:sz w:val="24"/>
          <w:szCs w:val="24"/>
          <w:lang w:val="en-GB"/>
        </w:rPr>
        <w:t xml:space="preserve"> predominantly</w:t>
      </w:r>
      <w:r w:rsidR="00033282" w:rsidRPr="00BC434D">
        <w:rPr>
          <w:rFonts w:asciiTheme="majorBidi" w:hAnsiTheme="majorBidi" w:cstheme="majorBidi"/>
          <w:sz w:val="24"/>
          <w:szCs w:val="24"/>
          <w:lang w:val="en-GB"/>
        </w:rPr>
        <w:t xml:space="preserve"> abstract notion</w:t>
      </w:r>
      <w:r w:rsidR="006B122B" w:rsidRPr="00BC434D">
        <w:rPr>
          <w:rFonts w:asciiTheme="majorBidi" w:hAnsiTheme="majorBidi" w:cstheme="majorBidi"/>
          <w:sz w:val="24"/>
          <w:szCs w:val="24"/>
          <w:lang w:val="en-GB"/>
        </w:rPr>
        <w:t xml:space="preserve">, which in most cases is </w:t>
      </w:r>
      <w:r w:rsidR="0018154C" w:rsidRPr="00BC434D">
        <w:rPr>
          <w:rFonts w:asciiTheme="majorBidi" w:hAnsiTheme="majorBidi" w:cstheme="majorBidi"/>
          <w:sz w:val="24"/>
          <w:szCs w:val="24"/>
          <w:lang w:val="en-GB"/>
        </w:rPr>
        <w:t>understood</w:t>
      </w:r>
      <w:r w:rsidR="006B122B" w:rsidRPr="00BC434D">
        <w:rPr>
          <w:rFonts w:asciiTheme="majorBidi" w:hAnsiTheme="majorBidi" w:cstheme="majorBidi"/>
          <w:sz w:val="24"/>
          <w:szCs w:val="24"/>
          <w:lang w:val="en-GB"/>
        </w:rPr>
        <w:t xml:space="preserve"> </w:t>
      </w:r>
      <w:r w:rsidR="00033282" w:rsidRPr="00BC434D">
        <w:rPr>
          <w:rFonts w:asciiTheme="majorBidi" w:hAnsiTheme="majorBidi" w:cstheme="majorBidi"/>
          <w:sz w:val="24"/>
          <w:szCs w:val="24"/>
          <w:lang w:val="en-GB"/>
        </w:rPr>
        <w:t>as a right of the person to preserve and control what becomes of his reputation, dignity, integrity, secrets</w:t>
      </w:r>
      <w:r w:rsidR="00E84054">
        <w:rPr>
          <w:rFonts w:asciiTheme="majorBidi" w:hAnsiTheme="majorBidi" w:cstheme="majorBidi"/>
          <w:sz w:val="24"/>
          <w:szCs w:val="24"/>
          <w:lang w:val="en-GB"/>
        </w:rPr>
        <w:t>,</w:t>
      </w:r>
      <w:r w:rsidR="00033282" w:rsidRPr="00BC434D">
        <w:rPr>
          <w:rFonts w:asciiTheme="majorBidi" w:hAnsiTheme="majorBidi" w:cstheme="majorBidi"/>
          <w:sz w:val="24"/>
          <w:szCs w:val="24"/>
          <w:lang w:val="en-GB"/>
        </w:rPr>
        <w:t xml:space="preserve"> or memory after death</w:t>
      </w:r>
      <w:r w:rsidR="0018154C" w:rsidRPr="00BC434D">
        <w:rPr>
          <w:rFonts w:asciiTheme="majorBidi" w:hAnsiTheme="majorBidi" w:cstheme="majorBidi"/>
          <w:sz w:val="24"/>
          <w:szCs w:val="24"/>
          <w:lang w:val="en-GB"/>
        </w:rPr>
        <w:t xml:space="preserve">, </w:t>
      </w:r>
      <w:r w:rsidR="00152D8F" w:rsidRPr="00BC434D">
        <w:rPr>
          <w:rFonts w:asciiTheme="majorBidi" w:hAnsiTheme="majorBidi" w:cstheme="majorBidi"/>
          <w:sz w:val="24"/>
          <w:szCs w:val="24"/>
          <w:lang w:val="en-GB"/>
        </w:rPr>
        <w:t>meaning after no longer being able to exercise human autonomy as an active agent</w:t>
      </w:r>
      <w:r w:rsidR="00FF2A1E" w:rsidRPr="00BC434D">
        <w:rPr>
          <w:rFonts w:asciiTheme="majorBidi" w:hAnsiTheme="majorBidi" w:cstheme="majorBidi"/>
          <w:sz w:val="24"/>
          <w:szCs w:val="24"/>
          <w:lang w:val="en-GB"/>
        </w:rPr>
        <w:t xml:space="preserve">. </w:t>
      </w:r>
      <w:r w:rsidR="00FF2A1E" w:rsidRPr="00BC434D">
        <w:rPr>
          <w:rStyle w:val="FootnoteReference"/>
          <w:rFonts w:asciiTheme="majorBidi" w:hAnsiTheme="majorBidi" w:cstheme="majorBidi"/>
          <w:sz w:val="24"/>
          <w:szCs w:val="24"/>
          <w:lang w:val="en-GB"/>
        </w:rPr>
        <w:footnoteReference w:id="2"/>
      </w:r>
      <w:r w:rsidR="004D45E8" w:rsidRPr="00BC434D">
        <w:rPr>
          <w:rFonts w:asciiTheme="majorBidi" w:hAnsiTheme="majorBidi" w:cstheme="majorBidi"/>
          <w:sz w:val="24"/>
          <w:szCs w:val="24"/>
          <w:lang w:val="en-GB"/>
        </w:rPr>
        <w:t xml:space="preserve"> </w:t>
      </w:r>
    </w:p>
    <w:p w14:paraId="6452707E" w14:textId="13EE3F84" w:rsidR="00157649" w:rsidRPr="00BC434D" w:rsidRDefault="00157649"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 xml:space="preserve">Considering the issue from a social perspective, post-mortem privacy is often associated with </w:t>
      </w:r>
      <w:r w:rsidR="00AF1D3C" w:rsidRPr="00BC434D">
        <w:rPr>
          <w:rFonts w:asciiTheme="majorBidi" w:hAnsiTheme="majorBidi" w:cstheme="majorBidi"/>
          <w:sz w:val="24"/>
          <w:szCs w:val="24"/>
          <w:lang w:val="en-GB"/>
        </w:rPr>
        <w:t>aspects such</w:t>
      </w:r>
      <w:r w:rsidRPr="00BC434D">
        <w:rPr>
          <w:rFonts w:asciiTheme="majorBidi" w:hAnsiTheme="majorBidi" w:cstheme="majorBidi"/>
          <w:sz w:val="24"/>
          <w:szCs w:val="24"/>
          <w:lang w:val="en-GB"/>
        </w:rPr>
        <w:t xml:space="preserve"> as the protection of personality rights, the author’s moral rights, dignity, and protection against defamation. </w:t>
      </w:r>
      <w:r w:rsidRPr="00BC434D">
        <w:rPr>
          <w:rStyle w:val="FootnoteReference"/>
          <w:rFonts w:asciiTheme="majorBidi" w:hAnsiTheme="majorBidi" w:cstheme="majorBidi"/>
          <w:sz w:val="24"/>
          <w:szCs w:val="24"/>
          <w:lang w:val="en-GB"/>
        </w:rPr>
        <w:footnoteReference w:id="3"/>
      </w:r>
    </w:p>
    <w:p w14:paraId="1DB71826" w14:textId="6503F887" w:rsidR="00157649" w:rsidRPr="00BC434D" w:rsidRDefault="00092FE8"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 xml:space="preserve">The controversy of the phenomena of post-mortem privacy lies not only in the </w:t>
      </w:r>
      <w:r w:rsidR="00F42201" w:rsidRPr="00BC434D">
        <w:rPr>
          <w:rFonts w:asciiTheme="majorBidi" w:hAnsiTheme="majorBidi" w:cstheme="majorBidi"/>
          <w:sz w:val="24"/>
          <w:szCs w:val="24"/>
          <w:lang w:val="en-GB"/>
        </w:rPr>
        <w:t>absence</w:t>
      </w:r>
      <w:r w:rsidR="00FE1E60" w:rsidRPr="00BC434D">
        <w:rPr>
          <w:rFonts w:asciiTheme="majorBidi" w:hAnsiTheme="majorBidi" w:cstheme="majorBidi"/>
          <w:sz w:val="24"/>
          <w:szCs w:val="24"/>
          <w:lang w:val="en-GB"/>
        </w:rPr>
        <w:t xml:space="preserve"> of the right codified but also </w:t>
      </w:r>
      <w:r w:rsidR="00F42201" w:rsidRPr="00BC434D">
        <w:rPr>
          <w:rFonts w:asciiTheme="majorBidi" w:hAnsiTheme="majorBidi" w:cstheme="majorBidi"/>
          <w:sz w:val="24"/>
          <w:szCs w:val="24"/>
          <w:lang w:val="en-GB"/>
        </w:rPr>
        <w:t xml:space="preserve">in </w:t>
      </w:r>
      <w:r w:rsidR="00CA0B42" w:rsidRPr="00BC434D">
        <w:rPr>
          <w:rFonts w:asciiTheme="majorBidi" w:hAnsiTheme="majorBidi" w:cstheme="majorBidi"/>
          <w:sz w:val="24"/>
          <w:szCs w:val="24"/>
          <w:lang w:val="en-GB"/>
        </w:rPr>
        <w:t xml:space="preserve">the </w:t>
      </w:r>
      <w:r w:rsidR="00291164" w:rsidRPr="00BC434D">
        <w:rPr>
          <w:rFonts w:asciiTheme="majorBidi" w:hAnsiTheme="majorBidi" w:cstheme="majorBidi"/>
          <w:sz w:val="24"/>
          <w:szCs w:val="24"/>
          <w:lang w:val="en-GB"/>
        </w:rPr>
        <w:t>natural</w:t>
      </w:r>
      <w:r w:rsidR="00F42201" w:rsidRPr="00BC434D">
        <w:rPr>
          <w:rFonts w:asciiTheme="majorBidi" w:hAnsiTheme="majorBidi" w:cstheme="majorBidi"/>
          <w:sz w:val="24"/>
          <w:szCs w:val="24"/>
          <w:lang w:val="en-GB"/>
        </w:rPr>
        <w:t xml:space="preserve"> </w:t>
      </w:r>
      <w:r w:rsidR="00291164" w:rsidRPr="00BC434D">
        <w:rPr>
          <w:rFonts w:asciiTheme="majorBidi" w:hAnsiTheme="majorBidi" w:cstheme="majorBidi"/>
          <w:sz w:val="24"/>
          <w:szCs w:val="24"/>
          <w:lang w:val="en-GB"/>
        </w:rPr>
        <w:t>controversy</w:t>
      </w:r>
      <w:r w:rsidR="00F50FCF" w:rsidRPr="00BC434D">
        <w:rPr>
          <w:rFonts w:asciiTheme="majorBidi" w:hAnsiTheme="majorBidi" w:cstheme="majorBidi"/>
          <w:sz w:val="24"/>
          <w:szCs w:val="24"/>
          <w:lang w:val="en-GB"/>
        </w:rPr>
        <w:t xml:space="preserve"> of the very idea of</w:t>
      </w:r>
      <w:r w:rsidR="00291164" w:rsidRPr="00BC434D">
        <w:rPr>
          <w:rFonts w:asciiTheme="majorBidi" w:hAnsiTheme="majorBidi" w:cstheme="majorBidi"/>
          <w:sz w:val="24"/>
          <w:szCs w:val="24"/>
          <w:lang w:val="en-GB"/>
        </w:rPr>
        <w:t xml:space="preserve"> posthumous</w:t>
      </w:r>
      <w:r w:rsidR="00F50FCF" w:rsidRPr="00BC434D">
        <w:rPr>
          <w:rFonts w:asciiTheme="majorBidi" w:hAnsiTheme="majorBidi" w:cstheme="majorBidi"/>
          <w:sz w:val="24"/>
          <w:szCs w:val="24"/>
          <w:lang w:val="en-GB"/>
        </w:rPr>
        <w:t xml:space="preserve"> </w:t>
      </w:r>
      <w:r w:rsidR="005953DC" w:rsidRPr="00BC434D">
        <w:rPr>
          <w:rFonts w:asciiTheme="majorBidi" w:hAnsiTheme="majorBidi" w:cstheme="majorBidi"/>
          <w:sz w:val="24"/>
          <w:szCs w:val="24"/>
          <w:lang w:val="en-GB"/>
        </w:rPr>
        <w:t>privacy</w:t>
      </w:r>
      <w:r w:rsidR="00F42201" w:rsidRPr="00BC434D">
        <w:rPr>
          <w:rFonts w:asciiTheme="majorBidi" w:hAnsiTheme="majorBidi" w:cstheme="majorBidi"/>
          <w:sz w:val="24"/>
          <w:szCs w:val="24"/>
          <w:lang w:val="en-GB"/>
        </w:rPr>
        <w:t xml:space="preserve"> </w:t>
      </w:r>
      <w:r w:rsidR="004B0FA8" w:rsidRPr="00BC434D">
        <w:rPr>
          <w:rFonts w:asciiTheme="majorBidi" w:hAnsiTheme="majorBidi" w:cstheme="majorBidi"/>
          <w:sz w:val="24"/>
          <w:szCs w:val="24"/>
          <w:lang w:val="en-GB"/>
        </w:rPr>
        <w:t xml:space="preserve">in relation to </w:t>
      </w:r>
      <w:r w:rsidR="00F42201" w:rsidRPr="00BC434D">
        <w:rPr>
          <w:rFonts w:asciiTheme="majorBidi" w:hAnsiTheme="majorBidi" w:cstheme="majorBidi"/>
          <w:sz w:val="24"/>
          <w:szCs w:val="24"/>
          <w:lang w:val="en-GB"/>
        </w:rPr>
        <w:t>the fundamental principles and pillars of certain jurisdictions</w:t>
      </w:r>
      <w:r w:rsidR="00CE54BD" w:rsidRPr="00BC434D">
        <w:rPr>
          <w:rFonts w:asciiTheme="majorBidi" w:hAnsiTheme="majorBidi" w:cstheme="majorBidi"/>
          <w:sz w:val="24"/>
          <w:szCs w:val="24"/>
          <w:lang w:val="en-GB"/>
        </w:rPr>
        <w:t>, for example,</w:t>
      </w:r>
      <w:r w:rsidR="00A53D0F" w:rsidRPr="00BC434D">
        <w:rPr>
          <w:rFonts w:asciiTheme="majorBidi" w:hAnsiTheme="majorBidi" w:cstheme="majorBidi"/>
          <w:sz w:val="24"/>
          <w:szCs w:val="24"/>
          <w:lang w:val="en-GB"/>
        </w:rPr>
        <w:t xml:space="preserve"> </w:t>
      </w:r>
      <w:r w:rsidR="003F0B6A" w:rsidRPr="00BC434D">
        <w:rPr>
          <w:rFonts w:asciiTheme="majorBidi" w:hAnsiTheme="majorBidi" w:cstheme="majorBidi"/>
          <w:sz w:val="24"/>
          <w:szCs w:val="24"/>
          <w:lang w:val="en-GB"/>
        </w:rPr>
        <w:t xml:space="preserve">the </w:t>
      </w:r>
      <w:r w:rsidR="003F0B6A" w:rsidRPr="00BC434D">
        <w:rPr>
          <w:rFonts w:asciiTheme="majorBidi" w:hAnsiTheme="majorBidi" w:cstheme="majorBidi"/>
          <w:sz w:val="24"/>
          <w:szCs w:val="24"/>
          <w:lang w:val="en-GB"/>
        </w:rPr>
        <w:lastRenderedPageBreak/>
        <w:t xml:space="preserve">maxim of the English law </w:t>
      </w:r>
      <w:r w:rsidR="001717DA" w:rsidRPr="00BC434D">
        <w:rPr>
          <w:rFonts w:asciiTheme="majorBidi" w:hAnsiTheme="majorBidi" w:cstheme="majorBidi"/>
          <w:sz w:val="24"/>
          <w:szCs w:val="24"/>
          <w:lang w:val="en-GB"/>
        </w:rPr>
        <w:t>“</w:t>
      </w:r>
      <w:r w:rsidR="00F02FF5" w:rsidRPr="00BC434D">
        <w:rPr>
          <w:rFonts w:asciiTheme="majorBidi" w:hAnsiTheme="majorBidi" w:cstheme="majorBidi"/>
          <w:i/>
          <w:iCs/>
          <w:sz w:val="24"/>
          <w:szCs w:val="24"/>
          <w:lang w:val="en-GB"/>
        </w:rPr>
        <w:t>actio personalis moritur cum persona</w:t>
      </w:r>
      <w:r w:rsidR="001717DA" w:rsidRPr="00BC434D">
        <w:rPr>
          <w:rFonts w:asciiTheme="majorBidi" w:hAnsiTheme="majorBidi" w:cstheme="majorBidi"/>
          <w:sz w:val="24"/>
          <w:szCs w:val="24"/>
          <w:lang w:val="en-GB"/>
        </w:rPr>
        <w:t>”</w:t>
      </w:r>
      <w:r w:rsidR="00DC0880" w:rsidRPr="00BC434D">
        <w:rPr>
          <w:rStyle w:val="FootnoteReference"/>
          <w:rFonts w:asciiTheme="majorBidi" w:hAnsiTheme="majorBidi" w:cstheme="majorBidi"/>
          <w:sz w:val="24"/>
          <w:szCs w:val="24"/>
          <w:lang w:val="en-GB"/>
        </w:rPr>
        <w:footnoteReference w:id="4"/>
      </w:r>
      <w:r w:rsidR="00F02FF5" w:rsidRPr="00BC434D">
        <w:rPr>
          <w:rFonts w:asciiTheme="majorBidi" w:hAnsiTheme="majorBidi" w:cstheme="majorBidi"/>
          <w:sz w:val="24"/>
          <w:szCs w:val="24"/>
          <w:lang w:val="en-GB"/>
        </w:rPr>
        <w:t xml:space="preserve"> </w:t>
      </w:r>
      <w:r w:rsidR="00FB1C39" w:rsidRPr="00BC434D">
        <w:rPr>
          <w:rFonts w:asciiTheme="majorBidi" w:hAnsiTheme="majorBidi" w:cstheme="majorBidi"/>
          <w:sz w:val="24"/>
          <w:szCs w:val="24"/>
          <w:lang w:val="en-GB"/>
        </w:rPr>
        <w:t>impl</w:t>
      </w:r>
      <w:r w:rsidR="004B0FA8" w:rsidRPr="00BC434D">
        <w:rPr>
          <w:rFonts w:asciiTheme="majorBidi" w:hAnsiTheme="majorBidi" w:cstheme="majorBidi"/>
          <w:sz w:val="24"/>
          <w:szCs w:val="24"/>
          <w:lang w:val="en-GB"/>
        </w:rPr>
        <w:t xml:space="preserve">ying that </w:t>
      </w:r>
      <w:r w:rsidR="001717DA" w:rsidRPr="00BC434D">
        <w:rPr>
          <w:rFonts w:asciiTheme="majorBidi" w:hAnsiTheme="majorBidi" w:cstheme="majorBidi"/>
          <w:sz w:val="24"/>
          <w:szCs w:val="24"/>
          <w:lang w:val="en-GB"/>
        </w:rPr>
        <w:t>“</w:t>
      </w:r>
      <w:r w:rsidR="008C2135" w:rsidRPr="00BC434D">
        <w:rPr>
          <w:rFonts w:asciiTheme="majorBidi" w:hAnsiTheme="majorBidi" w:cstheme="majorBidi"/>
          <w:sz w:val="24"/>
          <w:szCs w:val="24"/>
          <w:lang w:val="en-GB"/>
        </w:rPr>
        <w:t>a personal right of action dies with the person</w:t>
      </w:r>
      <w:r w:rsidR="001717DA" w:rsidRPr="00BC434D">
        <w:rPr>
          <w:rFonts w:asciiTheme="majorBidi" w:hAnsiTheme="majorBidi" w:cstheme="majorBidi"/>
          <w:sz w:val="24"/>
          <w:szCs w:val="24"/>
          <w:lang w:val="en-GB"/>
        </w:rPr>
        <w:t>”</w:t>
      </w:r>
      <w:r w:rsidR="008C2135" w:rsidRPr="00BC434D">
        <w:rPr>
          <w:rFonts w:asciiTheme="majorBidi" w:hAnsiTheme="majorBidi" w:cstheme="majorBidi"/>
          <w:sz w:val="24"/>
          <w:szCs w:val="24"/>
          <w:lang w:val="en-GB"/>
        </w:rPr>
        <w:t>.</w:t>
      </w:r>
    </w:p>
    <w:p w14:paraId="1BE7791A" w14:textId="5BA69A90" w:rsidR="00524C73" w:rsidRPr="00BC434D" w:rsidRDefault="00EB34D6"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In contrast to the common law system, the idea of posthumous privacy cannot be called foreign and uncharacteristic</w:t>
      </w:r>
      <w:r w:rsidR="001F69F7" w:rsidRPr="00BC434D">
        <w:rPr>
          <w:rFonts w:asciiTheme="majorBidi" w:hAnsiTheme="majorBidi" w:cstheme="majorBidi"/>
          <w:sz w:val="24"/>
          <w:szCs w:val="24"/>
          <w:lang w:val="en-GB"/>
        </w:rPr>
        <w:t xml:space="preserve"> of the civil law system</w:t>
      </w:r>
      <w:r w:rsidRPr="00BC434D">
        <w:rPr>
          <w:rFonts w:asciiTheme="majorBidi" w:hAnsiTheme="majorBidi" w:cstheme="majorBidi"/>
          <w:sz w:val="24"/>
          <w:szCs w:val="24"/>
          <w:lang w:val="en-GB"/>
        </w:rPr>
        <w:t>: although not in the scope of</w:t>
      </w:r>
      <w:r w:rsidR="009867F6" w:rsidRPr="00BC434D">
        <w:rPr>
          <w:rFonts w:asciiTheme="majorBidi" w:hAnsiTheme="majorBidi" w:cstheme="majorBidi"/>
          <w:sz w:val="24"/>
          <w:szCs w:val="24"/>
          <w:lang w:val="en-GB"/>
        </w:rPr>
        <w:t xml:space="preserve"> what we understand as</w:t>
      </w:r>
      <w:r w:rsidRPr="00BC434D">
        <w:rPr>
          <w:rFonts w:asciiTheme="majorBidi" w:hAnsiTheme="majorBidi" w:cstheme="majorBidi"/>
          <w:sz w:val="24"/>
          <w:szCs w:val="24"/>
          <w:lang w:val="en-GB"/>
        </w:rPr>
        <w:t xml:space="preserve"> modern digital posthumous</w:t>
      </w:r>
      <w:r w:rsidR="00D447DD" w:rsidRPr="00BC434D">
        <w:rPr>
          <w:rFonts w:asciiTheme="majorBidi" w:hAnsiTheme="majorBidi" w:cstheme="majorBidi"/>
          <w:sz w:val="24"/>
          <w:szCs w:val="24"/>
          <w:lang w:val="en-GB"/>
        </w:rPr>
        <w:t xml:space="preserve"> privacy</w:t>
      </w:r>
      <w:r w:rsidRPr="00BC434D">
        <w:rPr>
          <w:rFonts w:asciiTheme="majorBidi" w:hAnsiTheme="majorBidi" w:cstheme="majorBidi"/>
          <w:sz w:val="24"/>
          <w:szCs w:val="24"/>
          <w:lang w:val="en-GB"/>
        </w:rPr>
        <w:t xml:space="preserve"> regulation, the </w:t>
      </w:r>
      <w:r w:rsidR="004E5D8F" w:rsidRPr="00BC434D">
        <w:rPr>
          <w:rFonts w:asciiTheme="majorBidi" w:hAnsiTheme="majorBidi" w:cstheme="majorBidi"/>
          <w:sz w:val="24"/>
          <w:szCs w:val="24"/>
          <w:lang w:val="en-GB"/>
        </w:rPr>
        <w:t xml:space="preserve">concept-related </w:t>
      </w:r>
      <w:r w:rsidR="004B00AB" w:rsidRPr="00BC434D">
        <w:rPr>
          <w:rFonts w:asciiTheme="majorBidi" w:hAnsiTheme="majorBidi" w:cstheme="majorBidi"/>
          <w:sz w:val="24"/>
          <w:szCs w:val="24"/>
          <w:lang w:val="en-GB"/>
        </w:rPr>
        <w:t>manifestations and</w:t>
      </w:r>
      <w:r w:rsidR="00F56D03" w:rsidRPr="00BC434D">
        <w:rPr>
          <w:rFonts w:asciiTheme="majorBidi" w:hAnsiTheme="majorBidi" w:cstheme="majorBidi"/>
          <w:sz w:val="24"/>
          <w:szCs w:val="24"/>
          <w:lang w:val="en-GB"/>
        </w:rPr>
        <w:t xml:space="preserve"> </w:t>
      </w:r>
      <w:r w:rsidR="004E5D8F" w:rsidRPr="00BC434D">
        <w:rPr>
          <w:rFonts w:asciiTheme="majorBidi" w:hAnsiTheme="majorBidi" w:cstheme="majorBidi"/>
          <w:sz w:val="24"/>
          <w:szCs w:val="24"/>
          <w:lang w:val="en-GB"/>
        </w:rPr>
        <w:t>indications</w:t>
      </w:r>
      <w:r w:rsidR="00C32ACE" w:rsidRPr="00BC434D">
        <w:rPr>
          <w:rFonts w:asciiTheme="majorBidi" w:hAnsiTheme="majorBidi" w:cstheme="majorBidi"/>
          <w:sz w:val="24"/>
          <w:szCs w:val="24"/>
          <w:lang w:val="en-GB"/>
        </w:rPr>
        <w:t xml:space="preserve"> </w:t>
      </w:r>
      <w:r w:rsidR="004E5D8F" w:rsidRPr="00BC434D">
        <w:rPr>
          <w:rFonts w:asciiTheme="majorBidi" w:hAnsiTheme="majorBidi" w:cstheme="majorBidi"/>
          <w:sz w:val="24"/>
          <w:szCs w:val="24"/>
          <w:lang w:val="en-GB"/>
        </w:rPr>
        <w:t>can</w:t>
      </w:r>
      <w:r w:rsidR="00C32ACE" w:rsidRPr="00BC434D">
        <w:rPr>
          <w:rFonts w:asciiTheme="majorBidi" w:hAnsiTheme="majorBidi" w:cstheme="majorBidi"/>
          <w:sz w:val="24"/>
          <w:szCs w:val="24"/>
          <w:lang w:val="en-GB"/>
        </w:rPr>
        <w:t xml:space="preserve"> be found</w:t>
      </w:r>
      <w:r w:rsidRPr="00BC434D">
        <w:rPr>
          <w:rFonts w:asciiTheme="majorBidi" w:hAnsiTheme="majorBidi" w:cstheme="majorBidi"/>
          <w:sz w:val="24"/>
          <w:szCs w:val="24"/>
          <w:lang w:val="en-GB"/>
        </w:rPr>
        <w:t xml:space="preserve"> in numerous related cases and laws. For example, Malgieri</w:t>
      </w:r>
      <w:r w:rsidR="00712062"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 in his work</w:t>
      </w:r>
      <w:r w:rsidR="004E5D8F"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 </w:t>
      </w:r>
      <w:r w:rsidR="00712062" w:rsidRPr="00BC434D">
        <w:rPr>
          <w:rFonts w:asciiTheme="majorBidi" w:hAnsiTheme="majorBidi" w:cstheme="majorBidi"/>
          <w:sz w:val="24"/>
          <w:szCs w:val="24"/>
          <w:lang w:val="en-GB"/>
        </w:rPr>
        <w:t>considers being such an</w:t>
      </w:r>
      <w:r w:rsidRPr="00BC434D">
        <w:rPr>
          <w:rFonts w:asciiTheme="majorBidi" w:hAnsiTheme="majorBidi" w:cstheme="majorBidi"/>
          <w:sz w:val="24"/>
          <w:szCs w:val="24"/>
          <w:lang w:val="en-GB"/>
        </w:rPr>
        <w:t xml:space="preserve"> Application n. 8741/79, 47</w:t>
      </w:r>
      <w:r w:rsidR="002573C2"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 in which the Commission admitted that the applicant</w:t>
      </w:r>
      <w:r w:rsidR="00810E36">
        <w:rPr>
          <w:rFonts w:asciiTheme="majorBidi" w:hAnsiTheme="majorBidi" w:cstheme="majorBidi"/>
          <w:sz w:val="24"/>
          <w:szCs w:val="24"/>
          <w:lang w:val="en-GB"/>
        </w:rPr>
        <w:t>’</w:t>
      </w:r>
      <w:r w:rsidRPr="00BC434D">
        <w:rPr>
          <w:rFonts w:asciiTheme="majorBidi" w:hAnsiTheme="majorBidi" w:cstheme="majorBidi"/>
          <w:sz w:val="24"/>
          <w:szCs w:val="24"/>
          <w:lang w:val="en-GB"/>
        </w:rPr>
        <w:t>s wish to have his ashes spread out over his own land</w:t>
      </w:r>
      <w:r w:rsidR="001717DA" w:rsidRPr="00BC434D">
        <w:rPr>
          <w:rFonts w:asciiTheme="majorBidi" w:hAnsiTheme="majorBidi" w:cstheme="majorBidi"/>
          <w:sz w:val="24"/>
          <w:szCs w:val="24"/>
          <w:lang w:val="en-GB"/>
        </w:rPr>
        <w:t>”</w:t>
      </w:r>
      <w:r w:rsidR="00D447DD" w:rsidRPr="00BC434D">
        <w:rPr>
          <w:rFonts w:asciiTheme="majorBidi" w:hAnsiTheme="majorBidi" w:cstheme="majorBidi"/>
          <w:sz w:val="24"/>
          <w:szCs w:val="24"/>
          <w:lang w:val="en-GB"/>
        </w:rPr>
        <w:t xml:space="preserve"> </w:t>
      </w:r>
      <w:r w:rsidRPr="00BC434D">
        <w:rPr>
          <w:rFonts w:asciiTheme="majorBidi" w:hAnsiTheme="majorBidi" w:cstheme="majorBidi"/>
          <w:sz w:val="24"/>
          <w:szCs w:val="24"/>
          <w:lang w:val="en-GB"/>
        </w:rPr>
        <w:t>was so closely connected to private life that it fell within the sphere of Art. 8 of the European Convention on Human Rights (ECHR)</w:t>
      </w:r>
      <w:r w:rsidR="001717DA" w:rsidRPr="00BC434D">
        <w:rPr>
          <w:rFonts w:asciiTheme="majorBidi" w:hAnsiTheme="majorBidi" w:cstheme="majorBidi"/>
          <w:sz w:val="24"/>
          <w:szCs w:val="24"/>
          <w:lang w:val="en-GB"/>
        </w:rPr>
        <w:t>”</w:t>
      </w:r>
      <w:r w:rsidR="00854A2D" w:rsidRPr="00BC434D">
        <w:rPr>
          <w:rFonts w:asciiTheme="majorBidi" w:hAnsiTheme="majorBidi" w:cstheme="majorBidi"/>
          <w:sz w:val="24"/>
          <w:szCs w:val="24"/>
          <w:lang w:val="en-GB"/>
        </w:rPr>
        <w:t xml:space="preserve">, </w:t>
      </w:r>
      <w:r w:rsidR="007B0ECC" w:rsidRPr="00BC434D">
        <w:rPr>
          <w:rFonts w:asciiTheme="majorBidi" w:hAnsiTheme="majorBidi" w:cstheme="majorBidi"/>
          <w:sz w:val="24"/>
          <w:szCs w:val="24"/>
          <w:lang w:val="en-GB"/>
        </w:rPr>
        <w:t xml:space="preserve">correctly defining it as </w:t>
      </w:r>
      <w:r w:rsidR="00C41D25" w:rsidRPr="00BC434D">
        <w:rPr>
          <w:rFonts w:asciiTheme="majorBidi" w:hAnsiTheme="majorBidi" w:cstheme="majorBidi"/>
          <w:sz w:val="24"/>
          <w:szCs w:val="24"/>
          <w:lang w:val="en-GB"/>
        </w:rPr>
        <w:t>life-transcending decisional privacy</w:t>
      </w:r>
      <w:r w:rsidR="00D447DD" w:rsidRPr="00BC434D">
        <w:rPr>
          <w:rFonts w:asciiTheme="majorBidi" w:hAnsiTheme="majorBidi" w:cstheme="majorBidi"/>
          <w:sz w:val="24"/>
          <w:szCs w:val="24"/>
          <w:lang w:val="en-GB"/>
        </w:rPr>
        <w:t xml:space="preserve"> </w:t>
      </w:r>
      <w:r w:rsidR="00C41D25" w:rsidRPr="00BC434D">
        <w:rPr>
          <w:rStyle w:val="FootnoteReference"/>
          <w:rFonts w:asciiTheme="majorBidi" w:hAnsiTheme="majorBidi" w:cstheme="majorBidi"/>
          <w:sz w:val="24"/>
          <w:szCs w:val="24"/>
          <w:lang w:val="en-GB"/>
        </w:rPr>
        <w:footnoteReference w:id="5"/>
      </w:r>
      <w:r w:rsidRPr="00BC434D">
        <w:rPr>
          <w:rFonts w:asciiTheme="majorBidi" w:hAnsiTheme="majorBidi" w:cstheme="majorBidi"/>
          <w:sz w:val="24"/>
          <w:szCs w:val="24"/>
          <w:lang w:val="en-GB"/>
        </w:rPr>
        <w:t xml:space="preserve"> and the Danish Act on Coroner</w:t>
      </w:r>
      <w:r w:rsidR="00810E36">
        <w:rPr>
          <w:rFonts w:asciiTheme="majorBidi" w:hAnsiTheme="majorBidi" w:cstheme="majorBidi"/>
          <w:sz w:val="24"/>
          <w:szCs w:val="24"/>
          <w:lang w:val="en-GB"/>
        </w:rPr>
        <w:t>’</w:t>
      </w:r>
      <w:r w:rsidRPr="00BC434D">
        <w:rPr>
          <w:rFonts w:asciiTheme="majorBidi" w:hAnsiTheme="majorBidi" w:cstheme="majorBidi"/>
          <w:sz w:val="24"/>
          <w:szCs w:val="24"/>
          <w:lang w:val="en-GB"/>
        </w:rPr>
        <w:t>s Inquest, post-mortem examinations and transplantation, which prohibits interference with a corpse of a deceased person without his prior consent in writing</w:t>
      </w:r>
      <w:r w:rsidR="00445E0A" w:rsidRPr="00BC434D">
        <w:rPr>
          <w:rFonts w:asciiTheme="majorBidi" w:hAnsiTheme="majorBidi" w:cstheme="majorBidi"/>
          <w:sz w:val="24"/>
          <w:szCs w:val="24"/>
          <w:lang w:val="en-GB"/>
        </w:rPr>
        <w:t>.</w:t>
      </w:r>
      <w:r w:rsidR="00445E0A" w:rsidRPr="00BC434D">
        <w:rPr>
          <w:rStyle w:val="FootnoteReference"/>
          <w:rFonts w:asciiTheme="majorBidi" w:hAnsiTheme="majorBidi" w:cstheme="majorBidi"/>
          <w:sz w:val="24"/>
          <w:szCs w:val="24"/>
          <w:lang w:val="en-GB"/>
        </w:rPr>
        <w:footnoteReference w:id="6"/>
      </w:r>
    </w:p>
    <w:p w14:paraId="28C9804A" w14:textId="77777777" w:rsidR="00B5532B" w:rsidRPr="00BC434D" w:rsidRDefault="00B5532B"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Of course, there are also many contrary opinions and testimonies.</w:t>
      </w:r>
    </w:p>
    <w:p w14:paraId="7AE4A7DD" w14:textId="30BC5604" w:rsidR="00B5532B" w:rsidRPr="00BC434D" w:rsidRDefault="00B5532B"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 xml:space="preserve">In particular, </w:t>
      </w:r>
      <w:r w:rsidR="0078379C" w:rsidRPr="00BC434D">
        <w:rPr>
          <w:rFonts w:asciiTheme="majorBidi" w:hAnsiTheme="majorBidi" w:cstheme="majorBidi"/>
          <w:sz w:val="24"/>
          <w:szCs w:val="24"/>
          <w:lang w:val="en-GB"/>
        </w:rPr>
        <w:t>under the</w:t>
      </w:r>
      <w:r w:rsidRPr="00BC434D">
        <w:rPr>
          <w:rFonts w:asciiTheme="majorBidi" w:hAnsiTheme="majorBidi" w:cstheme="majorBidi"/>
          <w:sz w:val="24"/>
          <w:szCs w:val="24"/>
          <w:lang w:val="en-GB"/>
        </w:rPr>
        <w:t xml:space="preserve"> general practice, Article 8 of the European Convention on Human Rights (ECHR), which is dedicated to the protection of the private and family, </w:t>
      </w:r>
      <w:r w:rsidR="00EE4527" w:rsidRPr="00BC434D">
        <w:rPr>
          <w:rFonts w:asciiTheme="majorBidi" w:hAnsiTheme="majorBidi" w:cstheme="majorBidi"/>
          <w:sz w:val="24"/>
          <w:szCs w:val="24"/>
          <w:lang w:val="en-GB"/>
        </w:rPr>
        <w:t>home,</w:t>
      </w:r>
      <w:r w:rsidRPr="00BC434D">
        <w:rPr>
          <w:rFonts w:asciiTheme="majorBidi" w:hAnsiTheme="majorBidi" w:cstheme="majorBidi"/>
          <w:sz w:val="24"/>
          <w:szCs w:val="24"/>
          <w:lang w:val="en-GB"/>
        </w:rPr>
        <w:t xml:space="preserve"> and correspondence, is limited to the protection of living individuals only unless case concerns very exceptional circumstances constituting an inseparable and direct link between the deceased</w:t>
      </w:r>
      <w:r w:rsidR="00810E36">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s privacy and the rights or interests (sometimes economic) of the </w:t>
      </w:r>
      <w:r w:rsidR="001267DA" w:rsidRPr="00BC434D">
        <w:rPr>
          <w:rFonts w:asciiTheme="majorBidi" w:hAnsiTheme="majorBidi" w:cstheme="majorBidi"/>
          <w:sz w:val="24"/>
          <w:szCs w:val="24"/>
          <w:lang w:val="en-GB"/>
        </w:rPr>
        <w:t>living</w:t>
      </w:r>
      <w:r w:rsidRPr="00BC434D">
        <w:rPr>
          <w:rFonts w:asciiTheme="majorBidi" w:hAnsiTheme="majorBidi" w:cstheme="majorBidi"/>
          <w:sz w:val="24"/>
          <w:szCs w:val="24"/>
          <w:lang w:val="en-GB"/>
        </w:rPr>
        <w:t xml:space="preserve"> individuals.</w:t>
      </w:r>
      <w:r w:rsidR="002C3C2D" w:rsidRPr="00BC434D">
        <w:rPr>
          <w:rStyle w:val="FootnoteReference"/>
          <w:rFonts w:asciiTheme="majorBidi" w:hAnsiTheme="majorBidi" w:cstheme="majorBidi"/>
          <w:sz w:val="24"/>
          <w:szCs w:val="24"/>
          <w:lang w:val="en-GB"/>
        </w:rPr>
        <w:footnoteReference w:id="7"/>
      </w:r>
    </w:p>
    <w:p w14:paraId="50DEF105" w14:textId="46B3853C" w:rsidR="005A3B14" w:rsidRPr="00BC434D" w:rsidRDefault="005A3B14"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But even in situations where the objective of protecting posthumous privacy</w:t>
      </w:r>
      <w:r w:rsidR="0007359F" w:rsidRPr="00BC434D">
        <w:rPr>
          <w:rFonts w:asciiTheme="majorBidi" w:hAnsiTheme="majorBidi" w:cstheme="majorBidi"/>
          <w:sz w:val="24"/>
          <w:szCs w:val="24"/>
          <w:lang w:val="en-GB"/>
        </w:rPr>
        <w:t xml:space="preserve"> seems</w:t>
      </w:r>
      <w:r w:rsidRPr="00BC434D">
        <w:rPr>
          <w:rFonts w:asciiTheme="majorBidi" w:hAnsiTheme="majorBidi" w:cstheme="majorBidi"/>
          <w:sz w:val="24"/>
          <w:szCs w:val="24"/>
          <w:lang w:val="en-GB"/>
        </w:rPr>
        <w:t xml:space="preserve"> </w:t>
      </w:r>
      <w:r w:rsidR="003C78E4" w:rsidRPr="00BC434D">
        <w:rPr>
          <w:rFonts w:asciiTheme="majorBidi" w:hAnsiTheme="majorBidi" w:cstheme="majorBidi"/>
          <w:sz w:val="24"/>
          <w:szCs w:val="24"/>
          <w:lang w:val="en-GB"/>
        </w:rPr>
        <w:t>entirely</w:t>
      </w:r>
      <w:r w:rsidRPr="00BC434D">
        <w:rPr>
          <w:rFonts w:asciiTheme="majorBidi" w:hAnsiTheme="majorBidi" w:cstheme="majorBidi"/>
          <w:sz w:val="24"/>
          <w:szCs w:val="24"/>
          <w:lang w:val="en-GB"/>
        </w:rPr>
        <w:t xml:space="preserve"> legitimate, as for example</w:t>
      </w:r>
      <w:r w:rsidR="00C73687"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 in the case of Rb Amsterdam 12 December 2003, KG 2003, 1363 m.nt. GJZ, where the daughter of two Holocaust victims </w:t>
      </w:r>
      <w:r w:rsidR="007613BC" w:rsidRPr="00BC434D">
        <w:rPr>
          <w:rFonts w:asciiTheme="majorBidi" w:hAnsiTheme="majorBidi" w:cstheme="majorBidi"/>
          <w:sz w:val="24"/>
          <w:szCs w:val="24"/>
          <w:lang w:val="en-GB"/>
        </w:rPr>
        <w:t>applied to the court</w:t>
      </w:r>
      <w:r w:rsidRPr="00BC434D">
        <w:rPr>
          <w:rFonts w:asciiTheme="majorBidi" w:hAnsiTheme="majorBidi" w:cstheme="majorBidi"/>
          <w:sz w:val="24"/>
          <w:szCs w:val="24"/>
          <w:lang w:val="en-GB"/>
        </w:rPr>
        <w:t xml:space="preserve"> to remove her parents</w:t>
      </w:r>
      <w:r w:rsidR="00810E36">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 personal information from the Digital Monument to the Jewish Community in the Netherlands, as this identification violates </w:t>
      </w:r>
      <w:r w:rsidR="007613BC" w:rsidRPr="00BC434D">
        <w:rPr>
          <w:rFonts w:asciiTheme="majorBidi" w:hAnsiTheme="majorBidi" w:cstheme="majorBidi"/>
          <w:sz w:val="24"/>
          <w:szCs w:val="24"/>
          <w:lang w:val="en-GB"/>
        </w:rPr>
        <w:t xml:space="preserve">their and </w:t>
      </w:r>
      <w:r w:rsidRPr="00BC434D">
        <w:rPr>
          <w:rFonts w:asciiTheme="majorBidi" w:hAnsiTheme="majorBidi" w:cstheme="majorBidi"/>
          <w:sz w:val="24"/>
          <w:szCs w:val="24"/>
          <w:lang w:val="en-GB"/>
        </w:rPr>
        <w:t>her data protection rights and evokes painful memories, other factors often prevail, such as ensuring freedom of expression.</w:t>
      </w:r>
      <w:r w:rsidR="007F6FF8" w:rsidRPr="00BC434D">
        <w:rPr>
          <w:rStyle w:val="FootnoteReference"/>
          <w:rFonts w:asciiTheme="majorBidi" w:hAnsiTheme="majorBidi" w:cstheme="majorBidi"/>
          <w:sz w:val="24"/>
          <w:szCs w:val="24"/>
          <w:lang w:val="en-GB"/>
        </w:rPr>
        <w:footnoteReference w:id="8"/>
      </w:r>
    </w:p>
    <w:p w14:paraId="69F182C0" w14:textId="0BF299B7" w:rsidR="003E28B0" w:rsidRPr="00BC434D" w:rsidRDefault="003E28B0"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 xml:space="preserve">Despite the lack of global legal clarity on the matter, </w:t>
      </w:r>
      <w:r w:rsidR="007613BC" w:rsidRPr="00BC434D">
        <w:rPr>
          <w:rFonts w:asciiTheme="majorBidi" w:hAnsiTheme="majorBidi" w:cstheme="majorBidi"/>
          <w:sz w:val="24"/>
          <w:szCs w:val="24"/>
          <w:lang w:val="en-GB"/>
        </w:rPr>
        <w:t>in light of</w:t>
      </w:r>
      <w:r w:rsidRPr="00BC434D">
        <w:rPr>
          <w:rFonts w:asciiTheme="majorBidi" w:hAnsiTheme="majorBidi" w:cstheme="majorBidi"/>
          <w:sz w:val="24"/>
          <w:szCs w:val="24"/>
          <w:lang w:val="en-GB"/>
        </w:rPr>
        <w:t xml:space="preserve"> the increasing threats to both our ante</w:t>
      </w:r>
      <w:r w:rsidR="007613BC"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mortem</w:t>
      </w:r>
      <w:r w:rsidR="00716C22" w:rsidRPr="00BC434D">
        <w:rPr>
          <w:rStyle w:val="FootnoteReference"/>
          <w:rFonts w:asciiTheme="majorBidi" w:hAnsiTheme="majorBidi" w:cstheme="majorBidi"/>
          <w:sz w:val="24"/>
          <w:szCs w:val="24"/>
          <w:lang w:val="en-GB"/>
        </w:rPr>
        <w:footnoteReference w:id="9"/>
      </w:r>
      <w:r w:rsidRPr="00BC434D">
        <w:rPr>
          <w:rFonts w:asciiTheme="majorBidi" w:hAnsiTheme="majorBidi" w:cstheme="majorBidi"/>
          <w:sz w:val="24"/>
          <w:szCs w:val="24"/>
          <w:lang w:val="en-GB"/>
        </w:rPr>
        <w:t xml:space="preserve"> and post-mortem privacy associated with </w:t>
      </w:r>
      <w:r w:rsidR="007613BC" w:rsidRPr="00BC434D">
        <w:rPr>
          <w:rFonts w:asciiTheme="majorBidi" w:hAnsiTheme="majorBidi" w:cstheme="majorBidi"/>
          <w:sz w:val="24"/>
          <w:szCs w:val="24"/>
          <w:lang w:val="en-GB"/>
        </w:rPr>
        <w:t>the</w:t>
      </w:r>
      <w:r w:rsidRPr="00BC434D">
        <w:rPr>
          <w:rFonts w:asciiTheme="majorBidi" w:hAnsiTheme="majorBidi" w:cstheme="majorBidi"/>
          <w:sz w:val="24"/>
          <w:szCs w:val="24"/>
          <w:lang w:val="en-GB"/>
        </w:rPr>
        <w:t xml:space="preserve"> rapid development of technology and the </w:t>
      </w:r>
      <w:r w:rsidR="003C78E4" w:rsidRPr="00BC434D">
        <w:rPr>
          <w:rFonts w:asciiTheme="majorBidi" w:hAnsiTheme="majorBidi" w:cstheme="majorBidi"/>
          <w:sz w:val="24"/>
          <w:szCs w:val="24"/>
          <w:lang w:val="en-GB"/>
        </w:rPr>
        <w:t>growing</w:t>
      </w:r>
      <w:r w:rsidRPr="00BC434D">
        <w:rPr>
          <w:rFonts w:asciiTheme="majorBidi" w:hAnsiTheme="majorBidi" w:cstheme="majorBidi"/>
          <w:sz w:val="24"/>
          <w:szCs w:val="24"/>
          <w:lang w:val="en-GB"/>
        </w:rPr>
        <w:t xml:space="preserve"> influence of private corporations, many scholars take a firm normative stance supporting and proclaiming the existence and the need to regulate the post-</w:t>
      </w:r>
      <w:r w:rsidRPr="00BC434D">
        <w:rPr>
          <w:rFonts w:asciiTheme="majorBidi" w:hAnsiTheme="majorBidi" w:cstheme="majorBidi"/>
          <w:sz w:val="24"/>
          <w:szCs w:val="24"/>
          <w:lang w:val="en-GB"/>
        </w:rPr>
        <w:lastRenderedPageBreak/>
        <w:t xml:space="preserve">mortem privacy </w:t>
      </w:r>
      <w:r w:rsidR="004906EA" w:rsidRPr="00BC434D">
        <w:rPr>
          <w:rFonts w:asciiTheme="majorBidi" w:hAnsiTheme="majorBidi" w:cstheme="majorBidi"/>
          <w:sz w:val="24"/>
          <w:szCs w:val="24"/>
          <w:lang w:val="en-GB"/>
        </w:rPr>
        <w:t xml:space="preserve">and data </w:t>
      </w:r>
      <w:r w:rsidRPr="00BC434D">
        <w:rPr>
          <w:rFonts w:asciiTheme="majorBidi" w:hAnsiTheme="majorBidi" w:cstheme="majorBidi"/>
          <w:sz w:val="24"/>
          <w:szCs w:val="24"/>
          <w:lang w:val="en-GB"/>
        </w:rPr>
        <w:t xml:space="preserve">justifying it from the different perspectives. The works of Sperling, Smolensky, Harbinja, Buitelaar and many other legal and social scholars constitute a paramount contribution </w:t>
      </w:r>
      <w:r w:rsidR="004906EA" w:rsidRPr="00BC434D">
        <w:rPr>
          <w:rFonts w:asciiTheme="majorBidi" w:hAnsiTheme="majorBidi" w:cstheme="majorBidi"/>
          <w:sz w:val="24"/>
          <w:szCs w:val="24"/>
          <w:lang w:val="en-GB"/>
        </w:rPr>
        <w:t>to</w:t>
      </w:r>
      <w:r w:rsidRPr="00BC434D">
        <w:rPr>
          <w:rFonts w:asciiTheme="majorBidi" w:hAnsiTheme="majorBidi" w:cstheme="majorBidi"/>
          <w:sz w:val="24"/>
          <w:szCs w:val="24"/>
          <w:lang w:val="en-GB"/>
        </w:rPr>
        <w:t xml:space="preserve"> the theoretical </w:t>
      </w:r>
      <w:r w:rsidR="003E5589" w:rsidRPr="00BC434D">
        <w:rPr>
          <w:rFonts w:asciiTheme="majorBidi" w:hAnsiTheme="majorBidi" w:cstheme="majorBidi"/>
          <w:sz w:val="24"/>
          <w:szCs w:val="24"/>
          <w:lang w:val="en-GB"/>
        </w:rPr>
        <w:t>conceptualisation</w:t>
      </w:r>
      <w:r w:rsidRPr="00BC434D">
        <w:rPr>
          <w:rFonts w:asciiTheme="majorBidi" w:hAnsiTheme="majorBidi" w:cstheme="majorBidi"/>
          <w:sz w:val="24"/>
          <w:szCs w:val="24"/>
          <w:lang w:val="en-GB"/>
        </w:rPr>
        <w:t xml:space="preserve"> of the posthumous privacy phenomena.</w:t>
      </w:r>
      <w:r w:rsidR="00191896" w:rsidRPr="00BC434D">
        <w:rPr>
          <w:rStyle w:val="FootnoteReference"/>
          <w:rFonts w:asciiTheme="majorBidi" w:hAnsiTheme="majorBidi" w:cstheme="majorBidi"/>
          <w:sz w:val="24"/>
          <w:szCs w:val="24"/>
          <w:lang w:val="en-GB"/>
        </w:rPr>
        <w:footnoteReference w:id="10"/>
      </w:r>
    </w:p>
    <w:p w14:paraId="2AD723D7" w14:textId="1A1DC37B" w:rsidR="00692210" w:rsidRPr="00BC434D" w:rsidRDefault="003E28B0"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Thus, based on the idea that, although not all, the interests of individuals survive their death and deserve to receive legal protection,</w:t>
      </w:r>
      <w:r w:rsidR="007F657B" w:rsidRPr="00BC434D">
        <w:rPr>
          <w:rStyle w:val="FootnoteReference"/>
          <w:rFonts w:asciiTheme="majorBidi" w:hAnsiTheme="majorBidi" w:cstheme="majorBidi"/>
          <w:sz w:val="24"/>
          <w:szCs w:val="24"/>
          <w:lang w:val="en-GB"/>
        </w:rPr>
        <w:footnoteReference w:id="11"/>
      </w:r>
      <w:r w:rsidRPr="00BC434D">
        <w:rPr>
          <w:rFonts w:asciiTheme="majorBidi" w:hAnsiTheme="majorBidi" w:cstheme="majorBidi"/>
          <w:sz w:val="24"/>
          <w:szCs w:val="24"/>
          <w:lang w:val="en-GB"/>
        </w:rPr>
        <w:t xml:space="preserve"> this work, without further </w:t>
      </w:r>
      <w:r w:rsidR="001E28BF" w:rsidRPr="00BC434D">
        <w:rPr>
          <w:rFonts w:asciiTheme="majorBidi" w:hAnsiTheme="majorBidi" w:cstheme="majorBidi"/>
          <w:sz w:val="24"/>
          <w:szCs w:val="24"/>
          <w:lang w:val="en-GB"/>
        </w:rPr>
        <w:t>consideration</w:t>
      </w:r>
      <w:r w:rsidRPr="00BC434D">
        <w:rPr>
          <w:rFonts w:asciiTheme="majorBidi" w:hAnsiTheme="majorBidi" w:cstheme="majorBidi"/>
          <w:sz w:val="24"/>
          <w:szCs w:val="24"/>
          <w:lang w:val="en-GB"/>
        </w:rPr>
        <w:t xml:space="preserve"> of the theoretical basis, will proceed to consider the practical aspects of the implementation and regulation of posthumous privacy</w:t>
      </w:r>
      <w:r w:rsidR="001E28BF" w:rsidRPr="00BC434D">
        <w:rPr>
          <w:rFonts w:asciiTheme="majorBidi" w:hAnsiTheme="majorBidi" w:cstheme="majorBidi"/>
          <w:sz w:val="24"/>
          <w:szCs w:val="24"/>
          <w:lang w:val="en-GB"/>
        </w:rPr>
        <w:t xml:space="preserve"> and data protection</w:t>
      </w:r>
      <w:r w:rsidRPr="00BC434D">
        <w:rPr>
          <w:rFonts w:asciiTheme="majorBidi" w:hAnsiTheme="majorBidi" w:cstheme="majorBidi"/>
          <w:sz w:val="24"/>
          <w:szCs w:val="24"/>
          <w:lang w:val="en-GB"/>
        </w:rPr>
        <w:t xml:space="preserve">. </w:t>
      </w:r>
    </w:p>
    <w:p w14:paraId="0CFAB5C9" w14:textId="63C89035" w:rsidR="00692210" w:rsidRPr="00BC434D" w:rsidRDefault="000145C4" w:rsidP="00D848BE">
      <w:pPr>
        <w:pStyle w:val="Heading1"/>
        <w:numPr>
          <w:ilvl w:val="0"/>
          <w:numId w:val="15"/>
        </w:numPr>
        <w:spacing w:line="276" w:lineRule="auto"/>
        <w:ind w:left="0"/>
        <w:rPr>
          <w:rFonts w:asciiTheme="majorBidi" w:hAnsiTheme="majorBidi"/>
          <w:b/>
          <w:bCs/>
          <w:color w:val="auto"/>
          <w:sz w:val="24"/>
          <w:szCs w:val="24"/>
          <w:lang w:val="en-GB"/>
        </w:rPr>
      </w:pPr>
      <w:r w:rsidRPr="00BC434D">
        <w:rPr>
          <w:rFonts w:asciiTheme="majorBidi" w:hAnsiTheme="majorBidi"/>
          <w:b/>
          <w:bCs/>
          <w:color w:val="auto"/>
          <w:sz w:val="24"/>
          <w:szCs w:val="24"/>
          <w:lang w:val="en-GB"/>
        </w:rPr>
        <w:t xml:space="preserve">General remarks and </w:t>
      </w:r>
      <w:r w:rsidR="00A26C40" w:rsidRPr="00BC434D">
        <w:rPr>
          <w:rFonts w:asciiTheme="majorBidi" w:hAnsiTheme="majorBidi"/>
          <w:b/>
          <w:bCs/>
          <w:color w:val="auto"/>
          <w:sz w:val="24"/>
          <w:szCs w:val="24"/>
          <w:lang w:val="en-GB"/>
        </w:rPr>
        <w:t xml:space="preserve">important </w:t>
      </w:r>
      <w:r w:rsidR="00835605" w:rsidRPr="00BC434D">
        <w:rPr>
          <w:rFonts w:asciiTheme="majorBidi" w:hAnsiTheme="majorBidi"/>
          <w:b/>
          <w:bCs/>
          <w:color w:val="auto"/>
          <w:sz w:val="24"/>
          <w:szCs w:val="24"/>
          <w:lang w:val="en-GB"/>
        </w:rPr>
        <w:t>categorisations</w:t>
      </w:r>
      <w:r w:rsidR="00663DD5" w:rsidRPr="00BC434D">
        <w:rPr>
          <w:rFonts w:asciiTheme="majorBidi" w:hAnsiTheme="majorBidi"/>
          <w:b/>
          <w:bCs/>
          <w:color w:val="auto"/>
          <w:sz w:val="24"/>
          <w:szCs w:val="24"/>
          <w:lang w:val="en-GB"/>
        </w:rPr>
        <w:br/>
      </w:r>
    </w:p>
    <w:p w14:paraId="077C2A97" w14:textId="6BB80091" w:rsidR="00B75E51" w:rsidRPr="00BC434D" w:rsidRDefault="00E47124"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As was previously stated, t</w:t>
      </w:r>
      <w:r w:rsidR="001D43C1" w:rsidRPr="00BC434D">
        <w:rPr>
          <w:rFonts w:asciiTheme="majorBidi" w:hAnsiTheme="majorBidi" w:cstheme="majorBidi"/>
          <w:sz w:val="24"/>
          <w:szCs w:val="24"/>
          <w:lang w:val="en-GB"/>
        </w:rPr>
        <w:t>he discussion and consideration of th</w:t>
      </w:r>
      <w:r w:rsidRPr="00BC434D">
        <w:rPr>
          <w:rFonts w:asciiTheme="majorBidi" w:hAnsiTheme="majorBidi" w:cstheme="majorBidi"/>
          <w:sz w:val="24"/>
          <w:szCs w:val="24"/>
          <w:lang w:val="en-GB"/>
        </w:rPr>
        <w:t>e</w:t>
      </w:r>
      <w:r w:rsidR="001D43C1" w:rsidRPr="00BC434D">
        <w:rPr>
          <w:rFonts w:asciiTheme="majorBidi" w:hAnsiTheme="majorBidi" w:cstheme="majorBidi"/>
          <w:sz w:val="24"/>
          <w:szCs w:val="24"/>
          <w:lang w:val="en-GB"/>
        </w:rPr>
        <w:t xml:space="preserve"> </w:t>
      </w:r>
      <w:r w:rsidRPr="00BC434D">
        <w:rPr>
          <w:rFonts w:asciiTheme="majorBidi" w:hAnsiTheme="majorBidi" w:cstheme="majorBidi"/>
          <w:sz w:val="24"/>
          <w:szCs w:val="24"/>
          <w:lang w:val="en-GB"/>
        </w:rPr>
        <w:t>notion of post-mortem privacy</w:t>
      </w:r>
      <w:r w:rsidR="001D43C1" w:rsidRPr="00BC434D">
        <w:rPr>
          <w:rFonts w:asciiTheme="majorBidi" w:hAnsiTheme="majorBidi" w:cstheme="majorBidi"/>
          <w:sz w:val="24"/>
          <w:szCs w:val="24"/>
          <w:lang w:val="en-GB"/>
        </w:rPr>
        <w:t xml:space="preserve"> in general and in the legal dimensions, in particular, </w:t>
      </w:r>
      <w:r w:rsidRPr="00BC434D">
        <w:rPr>
          <w:rFonts w:asciiTheme="majorBidi" w:hAnsiTheme="majorBidi" w:cstheme="majorBidi"/>
          <w:sz w:val="24"/>
          <w:szCs w:val="24"/>
          <w:lang w:val="en-GB"/>
        </w:rPr>
        <w:t>are</w:t>
      </w:r>
      <w:r w:rsidR="001D43C1" w:rsidRPr="00BC434D">
        <w:rPr>
          <w:rFonts w:asciiTheme="majorBidi" w:hAnsiTheme="majorBidi" w:cstheme="majorBidi"/>
          <w:sz w:val="24"/>
          <w:szCs w:val="24"/>
          <w:lang w:val="en-GB"/>
        </w:rPr>
        <w:t xml:space="preserve"> mainly caused by the increased level of concern both in the ordinary and in the legal discourse</w:t>
      </w:r>
      <w:r w:rsidR="00264C8E" w:rsidRPr="00BC434D">
        <w:rPr>
          <w:rFonts w:asciiTheme="majorBidi" w:hAnsiTheme="majorBidi" w:cstheme="majorBidi"/>
          <w:sz w:val="24"/>
          <w:szCs w:val="24"/>
          <w:lang w:val="en-GB"/>
        </w:rPr>
        <w:t>s</w:t>
      </w:r>
      <w:r w:rsidR="001D43C1" w:rsidRPr="00BC434D">
        <w:rPr>
          <w:rFonts w:asciiTheme="majorBidi" w:hAnsiTheme="majorBidi" w:cstheme="majorBidi"/>
          <w:sz w:val="24"/>
          <w:szCs w:val="24"/>
          <w:lang w:val="en-GB"/>
        </w:rPr>
        <w:t xml:space="preserve"> about the </w:t>
      </w:r>
      <w:r w:rsidR="00094FEA" w:rsidRPr="00BC434D">
        <w:rPr>
          <w:rFonts w:asciiTheme="majorBidi" w:hAnsiTheme="majorBidi" w:cstheme="majorBidi"/>
          <w:sz w:val="24"/>
          <w:szCs w:val="24"/>
          <w:lang w:val="en-GB"/>
        </w:rPr>
        <w:t>lack of regulation</w:t>
      </w:r>
      <w:r w:rsidR="001D43C1" w:rsidRPr="00BC434D">
        <w:rPr>
          <w:rFonts w:asciiTheme="majorBidi" w:hAnsiTheme="majorBidi" w:cstheme="majorBidi"/>
          <w:sz w:val="24"/>
          <w:szCs w:val="24"/>
          <w:lang w:val="en-GB"/>
        </w:rPr>
        <w:t xml:space="preserve"> and inscrutability of legal elements or their aggregates, usually designated as components or influencing</w:t>
      </w:r>
      <w:r w:rsidR="00264C8E" w:rsidRPr="00BC434D">
        <w:rPr>
          <w:rFonts w:asciiTheme="majorBidi" w:hAnsiTheme="majorBidi" w:cstheme="majorBidi"/>
          <w:sz w:val="24"/>
          <w:szCs w:val="24"/>
          <w:lang w:val="en-GB"/>
        </w:rPr>
        <w:t xml:space="preserve"> factors of</w:t>
      </w:r>
      <w:r w:rsidR="001D43C1" w:rsidRPr="00BC434D">
        <w:rPr>
          <w:rFonts w:asciiTheme="majorBidi" w:hAnsiTheme="majorBidi" w:cstheme="majorBidi"/>
          <w:sz w:val="24"/>
          <w:szCs w:val="24"/>
          <w:lang w:val="en-GB"/>
        </w:rPr>
        <w:t xml:space="preserve"> what we underst</w:t>
      </w:r>
      <w:r w:rsidR="00264C8E" w:rsidRPr="00BC434D">
        <w:rPr>
          <w:rFonts w:asciiTheme="majorBidi" w:hAnsiTheme="majorBidi" w:cstheme="majorBidi"/>
          <w:sz w:val="24"/>
          <w:szCs w:val="24"/>
          <w:lang w:val="en-GB"/>
        </w:rPr>
        <w:t>and</w:t>
      </w:r>
      <w:r w:rsidR="001D43C1" w:rsidRPr="00BC434D">
        <w:rPr>
          <w:rFonts w:asciiTheme="majorBidi" w:hAnsiTheme="majorBidi" w:cstheme="majorBidi"/>
          <w:sz w:val="24"/>
          <w:szCs w:val="24"/>
          <w:lang w:val="en-GB"/>
        </w:rPr>
        <w:t xml:space="preserve"> as</w:t>
      </w:r>
      <w:r w:rsidR="00AB109C" w:rsidRPr="00BC434D">
        <w:rPr>
          <w:rFonts w:asciiTheme="majorBidi" w:hAnsiTheme="majorBidi" w:cstheme="majorBidi"/>
          <w:sz w:val="24"/>
          <w:szCs w:val="24"/>
          <w:lang w:val="en-GB"/>
        </w:rPr>
        <w:t xml:space="preserve"> digital</w:t>
      </w:r>
      <w:r w:rsidR="001D43C1" w:rsidRPr="00BC434D">
        <w:rPr>
          <w:rFonts w:asciiTheme="majorBidi" w:hAnsiTheme="majorBidi" w:cstheme="majorBidi"/>
          <w:sz w:val="24"/>
          <w:szCs w:val="24"/>
          <w:lang w:val="en-GB"/>
        </w:rPr>
        <w:t xml:space="preserve"> posthumous privacy within the discourse. </w:t>
      </w:r>
    </w:p>
    <w:p w14:paraId="3D361A01" w14:textId="77777777" w:rsidR="00B808CB" w:rsidRPr="00BC434D" w:rsidRDefault="001D43C1"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These components, among other fields, include</w:t>
      </w:r>
      <w:r w:rsidR="00B808CB" w:rsidRPr="00BC434D">
        <w:rPr>
          <w:rFonts w:asciiTheme="majorBidi" w:hAnsiTheme="majorBidi" w:cstheme="majorBidi"/>
          <w:sz w:val="24"/>
          <w:szCs w:val="24"/>
          <w:lang w:val="en-GB"/>
        </w:rPr>
        <w:t>:</w:t>
      </w:r>
    </w:p>
    <w:p w14:paraId="16FB1318" w14:textId="7905FD16" w:rsidR="00000D57" w:rsidRPr="00BC434D" w:rsidRDefault="001D43C1" w:rsidP="00D848BE">
      <w:pPr>
        <w:pStyle w:val="ListParagraph"/>
        <w:numPr>
          <w:ilvl w:val="0"/>
          <w:numId w:val="4"/>
        </w:numPr>
        <w:spacing w:line="276" w:lineRule="auto"/>
        <w:ind w:left="0"/>
        <w:jc w:val="both"/>
        <w:rPr>
          <w:rFonts w:asciiTheme="majorBidi" w:hAnsiTheme="majorBidi" w:cstheme="majorBidi"/>
          <w:sz w:val="24"/>
          <w:szCs w:val="24"/>
          <w:lang w:val="en-GB"/>
        </w:rPr>
      </w:pPr>
      <w:r w:rsidRPr="00BC434D">
        <w:rPr>
          <w:rFonts w:asciiTheme="majorBidi" w:hAnsiTheme="majorBidi" w:cstheme="majorBidi"/>
          <w:sz w:val="24"/>
          <w:szCs w:val="24"/>
          <w:lang w:val="en-GB"/>
        </w:rPr>
        <w:t>property and essentially succession law</w:t>
      </w:r>
      <w:r w:rsidR="00000D57" w:rsidRPr="00BC434D">
        <w:rPr>
          <w:rFonts w:asciiTheme="majorBidi" w:hAnsiTheme="majorBidi" w:cstheme="majorBidi"/>
          <w:sz w:val="24"/>
          <w:szCs w:val="24"/>
          <w:lang w:val="en-GB"/>
        </w:rPr>
        <w:t>:</w:t>
      </w:r>
      <w:r w:rsidR="00934925" w:rsidRPr="00BC434D">
        <w:rPr>
          <w:rFonts w:asciiTheme="majorBidi" w:hAnsiTheme="majorBidi" w:cstheme="majorBidi"/>
          <w:sz w:val="24"/>
          <w:szCs w:val="24"/>
          <w:lang w:val="en-GB"/>
        </w:rPr>
        <w:t xml:space="preserve"> </w:t>
      </w:r>
      <w:r w:rsidR="0037571D" w:rsidRPr="00BC434D">
        <w:rPr>
          <w:rFonts w:asciiTheme="majorBidi" w:hAnsiTheme="majorBidi" w:cstheme="majorBidi"/>
          <w:sz w:val="24"/>
          <w:szCs w:val="24"/>
          <w:lang w:val="en-GB"/>
        </w:rPr>
        <w:t xml:space="preserve">the </w:t>
      </w:r>
      <w:r w:rsidR="00934925" w:rsidRPr="00BC434D">
        <w:rPr>
          <w:rFonts w:asciiTheme="majorBidi" w:hAnsiTheme="majorBidi" w:cstheme="majorBidi"/>
          <w:sz w:val="24"/>
          <w:szCs w:val="24"/>
          <w:lang w:val="en-GB"/>
        </w:rPr>
        <w:t xml:space="preserve">principle of universal succession is </w:t>
      </w:r>
      <w:r w:rsidR="0037571D" w:rsidRPr="00BC434D">
        <w:rPr>
          <w:rFonts w:asciiTheme="majorBidi" w:hAnsiTheme="majorBidi" w:cstheme="majorBidi"/>
          <w:sz w:val="24"/>
          <w:szCs w:val="24"/>
          <w:lang w:val="en-GB"/>
        </w:rPr>
        <w:t>generally governing the posthumous transfer of assets.</w:t>
      </w:r>
      <w:r w:rsidR="00094FEA" w:rsidRPr="00BC434D">
        <w:rPr>
          <w:rStyle w:val="FootnoteReference"/>
          <w:rFonts w:asciiTheme="majorBidi" w:hAnsiTheme="majorBidi" w:cstheme="majorBidi"/>
          <w:sz w:val="24"/>
          <w:szCs w:val="24"/>
          <w:lang w:val="en-GB"/>
        </w:rPr>
        <w:footnoteReference w:id="12"/>
      </w:r>
    </w:p>
    <w:p w14:paraId="6BD34ECD" w14:textId="1ADD54B9" w:rsidR="00000D57" w:rsidRPr="00BC434D" w:rsidRDefault="001D43C1" w:rsidP="00D848BE">
      <w:pPr>
        <w:pStyle w:val="ListParagraph"/>
        <w:numPr>
          <w:ilvl w:val="0"/>
          <w:numId w:val="4"/>
        </w:numPr>
        <w:spacing w:line="276" w:lineRule="auto"/>
        <w:ind w:left="0"/>
        <w:jc w:val="both"/>
        <w:rPr>
          <w:rFonts w:asciiTheme="majorBidi" w:hAnsiTheme="majorBidi" w:cstheme="majorBidi"/>
          <w:sz w:val="24"/>
          <w:szCs w:val="24"/>
          <w:lang w:val="en-GB"/>
        </w:rPr>
      </w:pPr>
      <w:r w:rsidRPr="00BC434D">
        <w:rPr>
          <w:rFonts w:asciiTheme="majorBidi" w:hAnsiTheme="majorBidi" w:cstheme="majorBidi"/>
          <w:sz w:val="24"/>
          <w:szCs w:val="24"/>
          <w:lang w:val="en-GB"/>
        </w:rPr>
        <w:t>intellectual property law regimes</w:t>
      </w:r>
      <w:r w:rsidR="0037571D" w:rsidRPr="00BC434D">
        <w:rPr>
          <w:rFonts w:asciiTheme="majorBidi" w:hAnsiTheme="majorBidi" w:cstheme="majorBidi"/>
          <w:sz w:val="24"/>
          <w:szCs w:val="24"/>
          <w:lang w:val="en-GB"/>
        </w:rPr>
        <w:t xml:space="preserve">: </w:t>
      </w:r>
      <w:r w:rsidR="00D4075F" w:rsidRPr="00BC434D">
        <w:rPr>
          <w:rFonts w:asciiTheme="majorBidi" w:hAnsiTheme="majorBidi" w:cstheme="majorBidi"/>
          <w:sz w:val="24"/>
          <w:szCs w:val="24"/>
          <w:lang w:val="en-GB"/>
        </w:rPr>
        <w:t>transferability</w:t>
      </w:r>
      <w:r w:rsidR="00F736E7" w:rsidRPr="00BC434D">
        <w:rPr>
          <w:rFonts w:asciiTheme="majorBidi" w:hAnsiTheme="majorBidi" w:cstheme="majorBidi"/>
          <w:sz w:val="24"/>
          <w:szCs w:val="24"/>
          <w:lang w:val="en-GB"/>
        </w:rPr>
        <w:t xml:space="preserve"> is </w:t>
      </w:r>
      <w:r w:rsidR="00634A3B" w:rsidRPr="00BC434D">
        <w:rPr>
          <w:rFonts w:asciiTheme="majorBidi" w:hAnsiTheme="majorBidi" w:cstheme="majorBidi"/>
          <w:sz w:val="24"/>
          <w:szCs w:val="24"/>
          <w:lang w:val="en-GB"/>
        </w:rPr>
        <w:t>usually dependent on the classification of the assets in question.</w:t>
      </w:r>
    </w:p>
    <w:p w14:paraId="5898274C" w14:textId="19820F3D" w:rsidR="00000D57" w:rsidRPr="00BC434D" w:rsidRDefault="001D43C1" w:rsidP="00D848BE">
      <w:pPr>
        <w:pStyle w:val="ListParagraph"/>
        <w:numPr>
          <w:ilvl w:val="0"/>
          <w:numId w:val="4"/>
        </w:numPr>
        <w:spacing w:line="276" w:lineRule="auto"/>
        <w:ind w:left="0"/>
        <w:jc w:val="both"/>
        <w:rPr>
          <w:rFonts w:asciiTheme="majorBidi" w:hAnsiTheme="majorBidi" w:cstheme="majorBidi"/>
          <w:sz w:val="24"/>
          <w:szCs w:val="24"/>
          <w:lang w:val="en-GB"/>
        </w:rPr>
      </w:pPr>
      <w:r w:rsidRPr="00BC434D">
        <w:rPr>
          <w:rFonts w:asciiTheme="majorBidi" w:hAnsiTheme="majorBidi" w:cstheme="majorBidi"/>
          <w:sz w:val="24"/>
          <w:szCs w:val="24"/>
          <w:lang w:val="en-GB"/>
        </w:rPr>
        <w:t>contract law</w:t>
      </w:r>
      <w:r w:rsidR="00634A3B" w:rsidRPr="00BC434D">
        <w:rPr>
          <w:rFonts w:asciiTheme="majorBidi" w:hAnsiTheme="majorBidi" w:cstheme="majorBidi"/>
          <w:sz w:val="24"/>
          <w:szCs w:val="24"/>
          <w:lang w:val="en-GB"/>
        </w:rPr>
        <w:t xml:space="preserve">: </w:t>
      </w:r>
      <w:r w:rsidR="00F01964" w:rsidRPr="00BC434D">
        <w:rPr>
          <w:rFonts w:asciiTheme="majorBidi" w:hAnsiTheme="majorBidi" w:cstheme="majorBidi"/>
          <w:sz w:val="24"/>
          <w:szCs w:val="24"/>
          <w:lang w:val="en-GB"/>
        </w:rPr>
        <w:t>th</w:t>
      </w:r>
      <w:r w:rsidR="00E701F8" w:rsidRPr="00BC434D">
        <w:rPr>
          <w:rFonts w:asciiTheme="majorBidi" w:hAnsiTheme="majorBidi" w:cstheme="majorBidi"/>
          <w:sz w:val="24"/>
          <w:szCs w:val="24"/>
          <w:lang w:val="en-GB"/>
        </w:rPr>
        <w:t xml:space="preserve">e contract of service is essential </w:t>
      </w:r>
      <w:r w:rsidR="00B21948" w:rsidRPr="00BC434D">
        <w:rPr>
          <w:rFonts w:asciiTheme="majorBidi" w:hAnsiTheme="majorBidi" w:cstheme="majorBidi"/>
          <w:sz w:val="24"/>
          <w:szCs w:val="24"/>
          <w:lang w:val="en-GB"/>
        </w:rPr>
        <w:t>for the usage of digital intermediaries` services</w:t>
      </w:r>
      <w:r w:rsidR="0020754F" w:rsidRPr="00BC434D">
        <w:rPr>
          <w:rFonts w:asciiTheme="majorBidi" w:hAnsiTheme="majorBidi" w:cstheme="majorBidi"/>
          <w:sz w:val="24"/>
          <w:szCs w:val="24"/>
          <w:lang w:val="en-GB"/>
        </w:rPr>
        <w:t>; it</w:t>
      </w:r>
      <w:r w:rsidR="007331D9" w:rsidRPr="00BC434D">
        <w:rPr>
          <w:rFonts w:asciiTheme="majorBidi" w:hAnsiTheme="majorBidi" w:cstheme="majorBidi"/>
          <w:sz w:val="24"/>
          <w:szCs w:val="24"/>
          <w:lang w:val="en-GB"/>
        </w:rPr>
        <w:t xml:space="preserve"> also </w:t>
      </w:r>
      <w:r w:rsidR="00D4075F" w:rsidRPr="00BC434D">
        <w:rPr>
          <w:rFonts w:asciiTheme="majorBidi" w:hAnsiTheme="majorBidi" w:cstheme="majorBidi"/>
          <w:sz w:val="24"/>
          <w:szCs w:val="24"/>
          <w:lang w:val="en-GB"/>
        </w:rPr>
        <w:t>sets</w:t>
      </w:r>
      <w:r w:rsidR="00AA34D8" w:rsidRPr="00BC434D">
        <w:rPr>
          <w:rFonts w:asciiTheme="majorBidi" w:hAnsiTheme="majorBidi" w:cstheme="majorBidi"/>
          <w:sz w:val="24"/>
          <w:szCs w:val="24"/>
          <w:lang w:val="en-GB"/>
        </w:rPr>
        <w:t xml:space="preserve"> the </w:t>
      </w:r>
      <w:r w:rsidR="00A1210D" w:rsidRPr="00BC434D">
        <w:rPr>
          <w:rFonts w:asciiTheme="majorBidi" w:hAnsiTheme="majorBidi" w:cstheme="majorBidi"/>
          <w:sz w:val="24"/>
          <w:szCs w:val="24"/>
          <w:lang w:val="en-GB"/>
        </w:rPr>
        <w:t xml:space="preserve">normative basis for the internal procedures of the assets and data processing </w:t>
      </w:r>
      <w:r w:rsidR="007468AF" w:rsidRPr="00BC434D">
        <w:rPr>
          <w:rFonts w:asciiTheme="majorBidi" w:hAnsiTheme="majorBidi" w:cstheme="majorBidi"/>
          <w:sz w:val="24"/>
          <w:szCs w:val="24"/>
          <w:lang w:val="en-GB"/>
        </w:rPr>
        <w:t>activities conducted by the intermediary.</w:t>
      </w:r>
    </w:p>
    <w:p w14:paraId="0DC52134" w14:textId="142CEBE7" w:rsidR="00000D57" w:rsidRPr="00BC434D" w:rsidRDefault="001D43C1" w:rsidP="00D848BE">
      <w:pPr>
        <w:pStyle w:val="ListParagraph"/>
        <w:numPr>
          <w:ilvl w:val="0"/>
          <w:numId w:val="4"/>
        </w:numPr>
        <w:spacing w:line="276" w:lineRule="auto"/>
        <w:ind w:left="0"/>
        <w:jc w:val="both"/>
        <w:rPr>
          <w:rFonts w:asciiTheme="majorBidi" w:hAnsiTheme="majorBidi" w:cstheme="majorBidi"/>
          <w:sz w:val="24"/>
          <w:szCs w:val="24"/>
          <w:lang w:val="en-GB"/>
        </w:rPr>
      </w:pPr>
      <w:r w:rsidRPr="00BC434D">
        <w:rPr>
          <w:rFonts w:asciiTheme="majorBidi" w:hAnsiTheme="majorBidi" w:cstheme="majorBidi"/>
          <w:sz w:val="24"/>
          <w:szCs w:val="24"/>
          <w:lang w:val="en-GB"/>
        </w:rPr>
        <w:t>data protection law</w:t>
      </w:r>
      <w:r w:rsidR="007468AF" w:rsidRPr="00BC434D">
        <w:rPr>
          <w:rFonts w:asciiTheme="majorBidi" w:hAnsiTheme="majorBidi" w:cstheme="majorBidi"/>
          <w:sz w:val="24"/>
          <w:szCs w:val="24"/>
          <w:lang w:val="en-GB"/>
        </w:rPr>
        <w:t>: sets standards for data processing</w:t>
      </w:r>
      <w:r w:rsidR="00BB7848" w:rsidRPr="00BC434D">
        <w:rPr>
          <w:rFonts w:asciiTheme="majorBidi" w:hAnsiTheme="majorBidi" w:cstheme="majorBidi"/>
          <w:sz w:val="24"/>
          <w:szCs w:val="24"/>
          <w:lang w:val="en-GB"/>
        </w:rPr>
        <w:t>, control</w:t>
      </w:r>
      <w:r w:rsidR="00EE4527" w:rsidRPr="00BC434D">
        <w:rPr>
          <w:rFonts w:asciiTheme="majorBidi" w:hAnsiTheme="majorBidi" w:cstheme="majorBidi"/>
          <w:sz w:val="24"/>
          <w:szCs w:val="24"/>
          <w:lang w:val="en-GB"/>
        </w:rPr>
        <w:t>,</w:t>
      </w:r>
      <w:r w:rsidR="00BB7848" w:rsidRPr="00BC434D">
        <w:rPr>
          <w:rFonts w:asciiTheme="majorBidi" w:hAnsiTheme="majorBidi" w:cstheme="majorBidi"/>
          <w:sz w:val="24"/>
          <w:szCs w:val="24"/>
          <w:lang w:val="en-GB"/>
        </w:rPr>
        <w:t xml:space="preserve"> and transmission, defining the </w:t>
      </w:r>
      <w:r w:rsidR="004E11F9" w:rsidRPr="00BC434D">
        <w:rPr>
          <w:rFonts w:asciiTheme="majorBidi" w:hAnsiTheme="majorBidi" w:cstheme="majorBidi"/>
          <w:sz w:val="24"/>
          <w:szCs w:val="24"/>
          <w:lang w:val="en-GB"/>
        </w:rPr>
        <w:t>scope of data subjects` and controllers</w:t>
      </w:r>
      <w:r w:rsidR="00975C0E" w:rsidRPr="00BC434D">
        <w:rPr>
          <w:rFonts w:asciiTheme="majorBidi" w:hAnsiTheme="majorBidi" w:cstheme="majorBidi"/>
          <w:sz w:val="24"/>
          <w:szCs w:val="24"/>
          <w:lang w:val="en-GB"/>
        </w:rPr>
        <w:t>`</w:t>
      </w:r>
      <w:r w:rsidR="004E11F9" w:rsidRPr="00BC434D">
        <w:rPr>
          <w:rFonts w:asciiTheme="majorBidi" w:hAnsiTheme="majorBidi" w:cstheme="majorBidi"/>
          <w:sz w:val="24"/>
          <w:szCs w:val="24"/>
          <w:lang w:val="en-GB"/>
        </w:rPr>
        <w:t xml:space="preserve"> (the intermediary</w:t>
      </w:r>
      <w:r w:rsidR="00E1027B" w:rsidRPr="00BC434D">
        <w:rPr>
          <w:rFonts w:asciiTheme="majorBidi" w:hAnsiTheme="majorBidi" w:cstheme="majorBidi"/>
          <w:sz w:val="24"/>
          <w:szCs w:val="24"/>
          <w:lang w:val="en-GB"/>
        </w:rPr>
        <w:t>/platform service-providers</w:t>
      </w:r>
      <w:r w:rsidR="004E11F9" w:rsidRPr="00BC434D">
        <w:rPr>
          <w:rFonts w:asciiTheme="majorBidi" w:hAnsiTheme="majorBidi" w:cstheme="majorBidi"/>
          <w:sz w:val="24"/>
          <w:szCs w:val="24"/>
          <w:lang w:val="en-GB"/>
        </w:rPr>
        <w:t xml:space="preserve">) conduct. </w:t>
      </w:r>
    </w:p>
    <w:p w14:paraId="18D2D72F" w14:textId="45D1B708" w:rsidR="00083546" w:rsidRPr="00BC434D" w:rsidRDefault="001D43C1"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Th</w:t>
      </w:r>
      <w:r w:rsidR="004E11F9" w:rsidRPr="00BC434D">
        <w:rPr>
          <w:rFonts w:asciiTheme="majorBidi" w:hAnsiTheme="majorBidi" w:cstheme="majorBidi"/>
          <w:sz w:val="24"/>
          <w:szCs w:val="24"/>
          <w:lang w:val="en-GB"/>
        </w:rPr>
        <w:t>e abovementioned</w:t>
      </w:r>
      <w:r w:rsidRPr="00BC434D">
        <w:rPr>
          <w:rFonts w:asciiTheme="majorBidi" w:hAnsiTheme="majorBidi" w:cstheme="majorBidi"/>
          <w:sz w:val="24"/>
          <w:szCs w:val="24"/>
          <w:lang w:val="en-GB"/>
        </w:rPr>
        <w:t xml:space="preserve"> conditional </w:t>
      </w:r>
      <w:r w:rsidR="00E05279" w:rsidRPr="00BC434D">
        <w:rPr>
          <w:rFonts w:asciiTheme="majorBidi" w:hAnsiTheme="majorBidi" w:cstheme="majorBidi"/>
          <w:sz w:val="24"/>
          <w:szCs w:val="24"/>
          <w:lang w:val="en-GB"/>
        </w:rPr>
        <w:t>categorisation</w:t>
      </w:r>
      <w:r w:rsidRPr="00BC434D">
        <w:rPr>
          <w:rFonts w:asciiTheme="majorBidi" w:hAnsiTheme="majorBidi" w:cstheme="majorBidi"/>
          <w:sz w:val="24"/>
          <w:szCs w:val="24"/>
          <w:lang w:val="en-GB"/>
        </w:rPr>
        <w:t xml:space="preserve"> is primarily based on the observations of issues considered by the civil legal system courts in the event of ruling and substantiating the account-related </w:t>
      </w:r>
      <w:r w:rsidR="00AB109C" w:rsidRPr="00BC434D">
        <w:rPr>
          <w:rFonts w:asciiTheme="majorBidi" w:hAnsiTheme="majorBidi" w:cstheme="majorBidi"/>
          <w:sz w:val="24"/>
          <w:szCs w:val="24"/>
          <w:lang w:val="en-GB"/>
        </w:rPr>
        <w:t xml:space="preserve">transfer </w:t>
      </w:r>
      <w:r w:rsidRPr="00BC434D">
        <w:rPr>
          <w:rFonts w:asciiTheme="majorBidi" w:hAnsiTheme="majorBidi" w:cstheme="majorBidi"/>
          <w:sz w:val="24"/>
          <w:szCs w:val="24"/>
          <w:lang w:val="en-GB"/>
        </w:rPr>
        <w:t>issues</w:t>
      </w:r>
      <w:r w:rsidR="00AB109C" w:rsidRPr="00BC434D">
        <w:rPr>
          <w:rFonts w:asciiTheme="majorBidi" w:hAnsiTheme="majorBidi" w:cstheme="majorBidi"/>
          <w:sz w:val="24"/>
          <w:szCs w:val="24"/>
          <w:lang w:val="en-GB"/>
        </w:rPr>
        <w:t>.</w:t>
      </w:r>
    </w:p>
    <w:p w14:paraId="2D447542" w14:textId="02E10E4B" w:rsidR="000E366E" w:rsidRPr="00BC434D" w:rsidRDefault="00692210"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There are also various stakeholders relevant to the issues surrounding post-mortem privacy online, namely, internet users, their families, service providers (intermediaries) and society.</w:t>
      </w:r>
      <w:r w:rsidR="0070412A" w:rsidRPr="00BC434D">
        <w:rPr>
          <w:rStyle w:val="FootnoteReference"/>
          <w:rFonts w:asciiTheme="majorBidi" w:hAnsiTheme="majorBidi" w:cstheme="majorBidi"/>
          <w:sz w:val="24"/>
          <w:szCs w:val="24"/>
          <w:lang w:val="en-GB"/>
        </w:rPr>
        <w:footnoteReference w:id="13"/>
      </w:r>
      <w:r w:rsidRPr="00BC434D">
        <w:rPr>
          <w:rFonts w:asciiTheme="majorBidi" w:hAnsiTheme="majorBidi" w:cstheme="majorBidi"/>
          <w:sz w:val="24"/>
          <w:szCs w:val="24"/>
          <w:lang w:val="en-GB"/>
        </w:rPr>
        <w:t xml:space="preserve"> </w:t>
      </w:r>
      <w:r w:rsidRPr="00BC434D">
        <w:rPr>
          <w:rFonts w:asciiTheme="majorBidi" w:hAnsiTheme="majorBidi" w:cstheme="majorBidi"/>
          <w:sz w:val="24"/>
          <w:szCs w:val="24"/>
          <w:lang w:val="en-GB"/>
        </w:rPr>
        <w:lastRenderedPageBreak/>
        <w:t xml:space="preserve">As the author takes a normative stance and promotes the interests of the users over their family or intermediaries, this work will focus on the practical aspects of the implementation of digital posthumous privacy directly related to the possibility and accessibility of individuals to control the fate of their digital assets in their own interests after death in within the framework of </w:t>
      </w:r>
      <w:r w:rsidR="00B57B73" w:rsidRPr="00BC434D">
        <w:rPr>
          <w:rFonts w:asciiTheme="majorBidi" w:hAnsiTheme="majorBidi" w:cstheme="majorBidi"/>
          <w:sz w:val="24"/>
          <w:szCs w:val="24"/>
          <w:lang w:val="en-GB"/>
        </w:rPr>
        <w:t>international</w:t>
      </w:r>
      <w:r w:rsidRPr="00BC434D">
        <w:rPr>
          <w:rFonts w:asciiTheme="majorBidi" w:hAnsiTheme="majorBidi" w:cstheme="majorBidi"/>
          <w:sz w:val="24"/>
          <w:szCs w:val="24"/>
          <w:lang w:val="en-GB"/>
        </w:rPr>
        <w:t xml:space="preserve"> and national legislation of the EU member states, trying to shed light on their nature, prospects and peculiarities.</w:t>
      </w:r>
    </w:p>
    <w:p w14:paraId="16F61E64" w14:textId="2A58DE86" w:rsidR="000E366E" w:rsidRPr="00BC434D" w:rsidRDefault="00926694" w:rsidP="00D848BE">
      <w:pPr>
        <w:pStyle w:val="Heading1"/>
        <w:numPr>
          <w:ilvl w:val="0"/>
          <w:numId w:val="15"/>
        </w:numPr>
        <w:spacing w:line="276" w:lineRule="auto"/>
        <w:ind w:left="0"/>
        <w:rPr>
          <w:rFonts w:asciiTheme="majorBidi" w:hAnsiTheme="majorBidi"/>
          <w:b/>
          <w:bCs/>
          <w:color w:val="auto"/>
          <w:sz w:val="24"/>
          <w:szCs w:val="24"/>
          <w:lang w:val="en-GB"/>
        </w:rPr>
      </w:pPr>
      <w:r w:rsidRPr="00BC434D">
        <w:rPr>
          <w:rFonts w:asciiTheme="majorBidi" w:hAnsiTheme="majorBidi"/>
          <w:b/>
          <w:bCs/>
          <w:color w:val="auto"/>
          <w:sz w:val="24"/>
          <w:szCs w:val="24"/>
          <w:lang w:val="en-GB"/>
        </w:rPr>
        <w:t xml:space="preserve">Post-mortem privacy on the </w:t>
      </w:r>
      <w:r w:rsidR="0091450A" w:rsidRPr="00BC434D">
        <w:rPr>
          <w:rFonts w:asciiTheme="majorBidi" w:hAnsiTheme="majorBidi"/>
          <w:b/>
          <w:bCs/>
          <w:color w:val="auto"/>
          <w:sz w:val="24"/>
          <w:szCs w:val="24"/>
          <w:lang w:val="en-GB"/>
        </w:rPr>
        <w:t>EU-level</w:t>
      </w:r>
      <w:r w:rsidR="00257F63" w:rsidRPr="00BC434D">
        <w:rPr>
          <w:rFonts w:asciiTheme="majorBidi" w:hAnsiTheme="majorBidi"/>
          <w:b/>
          <w:bCs/>
          <w:color w:val="auto"/>
          <w:sz w:val="24"/>
          <w:szCs w:val="24"/>
          <w:lang w:val="en-GB"/>
        </w:rPr>
        <w:t xml:space="preserve"> data protection</w:t>
      </w:r>
      <w:r w:rsidRPr="00BC434D">
        <w:rPr>
          <w:rFonts w:asciiTheme="majorBidi" w:hAnsiTheme="majorBidi"/>
          <w:b/>
          <w:bCs/>
          <w:color w:val="auto"/>
          <w:sz w:val="24"/>
          <w:szCs w:val="24"/>
          <w:lang w:val="en-GB"/>
        </w:rPr>
        <w:t xml:space="preserve"> legislation</w:t>
      </w:r>
      <w:r w:rsidR="00663DD5" w:rsidRPr="00BC434D">
        <w:rPr>
          <w:rFonts w:asciiTheme="majorBidi" w:hAnsiTheme="majorBidi"/>
          <w:b/>
          <w:bCs/>
          <w:color w:val="auto"/>
          <w:sz w:val="24"/>
          <w:szCs w:val="24"/>
          <w:lang w:val="en-GB"/>
        </w:rPr>
        <w:br/>
      </w:r>
    </w:p>
    <w:p w14:paraId="523EEE48" w14:textId="07B574C5" w:rsidR="00167B95" w:rsidRPr="00BC434D" w:rsidRDefault="00257F63"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 xml:space="preserve">As was already mentioned above, </w:t>
      </w:r>
      <w:r w:rsidR="00ED1740" w:rsidRPr="00BC434D">
        <w:rPr>
          <w:rFonts w:asciiTheme="majorBidi" w:hAnsiTheme="majorBidi" w:cstheme="majorBidi"/>
          <w:sz w:val="24"/>
          <w:szCs w:val="24"/>
          <w:lang w:val="en-GB"/>
        </w:rPr>
        <w:t>due to the relative novelty</w:t>
      </w:r>
      <w:r w:rsidR="008509DF" w:rsidRPr="00BC434D">
        <w:rPr>
          <w:rFonts w:asciiTheme="majorBidi" w:hAnsiTheme="majorBidi" w:cstheme="majorBidi"/>
          <w:sz w:val="24"/>
          <w:szCs w:val="24"/>
          <w:lang w:val="en-GB"/>
        </w:rPr>
        <w:t xml:space="preserve"> of the phenomena in general</w:t>
      </w:r>
      <w:r w:rsidR="008C7298" w:rsidRPr="00BC434D">
        <w:rPr>
          <w:rFonts w:asciiTheme="majorBidi" w:hAnsiTheme="majorBidi" w:cstheme="majorBidi"/>
          <w:sz w:val="24"/>
          <w:szCs w:val="24"/>
          <w:lang w:val="en-GB"/>
        </w:rPr>
        <w:t>,</w:t>
      </w:r>
      <w:r w:rsidR="00ED1740" w:rsidRPr="00BC434D">
        <w:rPr>
          <w:rFonts w:asciiTheme="majorBidi" w:hAnsiTheme="majorBidi" w:cstheme="majorBidi"/>
          <w:sz w:val="24"/>
          <w:szCs w:val="24"/>
          <w:lang w:val="en-GB"/>
        </w:rPr>
        <w:t xml:space="preserve"> </w:t>
      </w:r>
      <w:r w:rsidRPr="00BC434D">
        <w:rPr>
          <w:rFonts w:asciiTheme="majorBidi" w:hAnsiTheme="majorBidi" w:cstheme="majorBidi"/>
          <w:sz w:val="24"/>
          <w:szCs w:val="24"/>
          <w:lang w:val="en-GB"/>
        </w:rPr>
        <w:t xml:space="preserve">the </w:t>
      </w:r>
      <w:r w:rsidR="00D33C52" w:rsidRPr="00BC434D">
        <w:rPr>
          <w:rFonts w:asciiTheme="majorBidi" w:hAnsiTheme="majorBidi" w:cstheme="majorBidi"/>
          <w:sz w:val="24"/>
          <w:szCs w:val="24"/>
          <w:lang w:val="en-GB"/>
        </w:rPr>
        <w:t>fate of our digital assets and</w:t>
      </w:r>
      <w:r w:rsidR="000702DE" w:rsidRPr="00BC434D">
        <w:rPr>
          <w:rFonts w:asciiTheme="majorBidi" w:hAnsiTheme="majorBidi" w:cstheme="majorBidi"/>
          <w:sz w:val="24"/>
          <w:szCs w:val="24"/>
          <w:lang w:val="en-GB"/>
        </w:rPr>
        <w:t xml:space="preserve"> </w:t>
      </w:r>
      <w:r w:rsidR="00ED1740" w:rsidRPr="00BC434D">
        <w:rPr>
          <w:rFonts w:asciiTheme="majorBidi" w:hAnsiTheme="majorBidi" w:cstheme="majorBidi"/>
          <w:sz w:val="24"/>
          <w:szCs w:val="24"/>
          <w:lang w:val="en-GB"/>
        </w:rPr>
        <w:t xml:space="preserve">their </w:t>
      </w:r>
      <w:r w:rsidR="000702DE" w:rsidRPr="00BC434D">
        <w:rPr>
          <w:rFonts w:asciiTheme="majorBidi" w:hAnsiTheme="majorBidi" w:cstheme="majorBidi"/>
          <w:sz w:val="24"/>
          <w:szCs w:val="24"/>
          <w:lang w:val="en-GB"/>
        </w:rPr>
        <w:t>post-mortem</w:t>
      </w:r>
      <w:r w:rsidR="00ED1740" w:rsidRPr="00BC434D">
        <w:rPr>
          <w:rFonts w:asciiTheme="majorBidi" w:hAnsiTheme="majorBidi" w:cstheme="majorBidi"/>
          <w:sz w:val="24"/>
          <w:szCs w:val="24"/>
          <w:lang w:val="en-GB"/>
        </w:rPr>
        <w:t xml:space="preserve"> aspects</w:t>
      </w:r>
      <w:r w:rsidR="00D33C52" w:rsidRPr="00BC434D">
        <w:rPr>
          <w:rFonts w:asciiTheme="majorBidi" w:hAnsiTheme="majorBidi" w:cstheme="majorBidi"/>
          <w:sz w:val="24"/>
          <w:szCs w:val="24"/>
          <w:lang w:val="en-GB"/>
        </w:rPr>
        <w:t xml:space="preserve"> </w:t>
      </w:r>
      <w:r w:rsidR="00ED1740" w:rsidRPr="00BC434D">
        <w:rPr>
          <w:rFonts w:asciiTheme="majorBidi" w:hAnsiTheme="majorBidi" w:cstheme="majorBidi"/>
          <w:sz w:val="24"/>
          <w:szCs w:val="24"/>
          <w:lang w:val="en-GB"/>
        </w:rPr>
        <w:t xml:space="preserve">after </w:t>
      </w:r>
      <w:r w:rsidR="00A26606" w:rsidRPr="00BC434D">
        <w:rPr>
          <w:rFonts w:asciiTheme="majorBidi" w:hAnsiTheme="majorBidi" w:cstheme="majorBidi"/>
          <w:sz w:val="24"/>
          <w:szCs w:val="24"/>
          <w:lang w:val="en-GB"/>
        </w:rPr>
        <w:t>our</w:t>
      </w:r>
      <w:r w:rsidR="00ED1740" w:rsidRPr="00BC434D">
        <w:rPr>
          <w:rFonts w:asciiTheme="majorBidi" w:hAnsiTheme="majorBidi" w:cstheme="majorBidi"/>
          <w:sz w:val="24"/>
          <w:szCs w:val="24"/>
          <w:lang w:val="en-GB"/>
        </w:rPr>
        <w:t xml:space="preserve"> death </w:t>
      </w:r>
      <w:r w:rsidR="005531E3" w:rsidRPr="00BC434D">
        <w:rPr>
          <w:rFonts w:asciiTheme="majorBidi" w:hAnsiTheme="majorBidi" w:cstheme="majorBidi"/>
          <w:sz w:val="24"/>
          <w:szCs w:val="24"/>
          <w:lang w:val="en-GB"/>
        </w:rPr>
        <w:t xml:space="preserve">currently </w:t>
      </w:r>
      <w:r w:rsidR="00167B95" w:rsidRPr="00BC434D">
        <w:rPr>
          <w:rFonts w:asciiTheme="majorBidi" w:hAnsiTheme="majorBidi" w:cstheme="majorBidi"/>
          <w:sz w:val="24"/>
          <w:szCs w:val="24"/>
          <w:lang w:val="en-GB"/>
        </w:rPr>
        <w:t>remain</w:t>
      </w:r>
      <w:r w:rsidR="000E366E" w:rsidRPr="00BC434D">
        <w:rPr>
          <w:rFonts w:asciiTheme="majorBidi" w:hAnsiTheme="majorBidi" w:cstheme="majorBidi"/>
          <w:sz w:val="24"/>
          <w:szCs w:val="24"/>
          <w:lang w:val="en-GB"/>
        </w:rPr>
        <w:t>s</w:t>
      </w:r>
      <w:r w:rsidR="005531E3" w:rsidRPr="00BC434D">
        <w:rPr>
          <w:rFonts w:asciiTheme="majorBidi" w:hAnsiTheme="majorBidi" w:cstheme="majorBidi"/>
          <w:sz w:val="24"/>
          <w:szCs w:val="24"/>
          <w:lang w:val="en-GB"/>
        </w:rPr>
        <w:t xml:space="preserve"> in the so-called </w:t>
      </w:r>
      <w:r w:rsidR="001717DA" w:rsidRPr="00BC434D">
        <w:rPr>
          <w:rFonts w:asciiTheme="majorBidi" w:hAnsiTheme="majorBidi" w:cstheme="majorBidi"/>
          <w:sz w:val="24"/>
          <w:szCs w:val="24"/>
          <w:lang w:val="en-GB"/>
        </w:rPr>
        <w:t>“</w:t>
      </w:r>
      <w:r w:rsidR="005531E3" w:rsidRPr="00BC434D">
        <w:rPr>
          <w:rFonts w:asciiTheme="majorBidi" w:hAnsiTheme="majorBidi" w:cstheme="majorBidi"/>
          <w:sz w:val="24"/>
          <w:szCs w:val="24"/>
          <w:lang w:val="en-GB"/>
        </w:rPr>
        <w:t>grey area</w:t>
      </w:r>
      <w:r w:rsidR="001717DA" w:rsidRPr="00BC434D">
        <w:rPr>
          <w:rFonts w:asciiTheme="majorBidi" w:hAnsiTheme="majorBidi" w:cstheme="majorBidi"/>
          <w:sz w:val="24"/>
          <w:szCs w:val="24"/>
          <w:lang w:val="en-GB"/>
        </w:rPr>
        <w:t>”</w:t>
      </w:r>
      <w:r w:rsidR="00B235E7" w:rsidRPr="00BC434D">
        <w:rPr>
          <w:rFonts w:asciiTheme="majorBidi" w:hAnsiTheme="majorBidi" w:cstheme="majorBidi"/>
          <w:sz w:val="24"/>
          <w:szCs w:val="24"/>
          <w:lang w:val="en-GB"/>
        </w:rPr>
        <w:t xml:space="preserve">. </w:t>
      </w:r>
      <w:r w:rsidR="000E366E" w:rsidRPr="00BC434D">
        <w:rPr>
          <w:rFonts w:asciiTheme="majorBidi" w:hAnsiTheme="majorBidi" w:cstheme="majorBidi"/>
          <w:sz w:val="24"/>
          <w:szCs w:val="24"/>
          <w:lang w:val="en-GB"/>
        </w:rPr>
        <w:t>Also, no</w:t>
      </w:r>
      <w:r w:rsidR="00D85D6E" w:rsidRPr="00BC434D">
        <w:rPr>
          <w:rFonts w:asciiTheme="majorBidi" w:hAnsiTheme="majorBidi" w:cstheme="majorBidi"/>
          <w:sz w:val="24"/>
          <w:szCs w:val="24"/>
          <w:lang w:val="en-GB"/>
        </w:rPr>
        <w:t xml:space="preserve"> European-wide piece of legislation </w:t>
      </w:r>
      <w:r w:rsidR="00B57B73" w:rsidRPr="00BC434D">
        <w:rPr>
          <w:rFonts w:asciiTheme="majorBidi" w:hAnsiTheme="majorBidi" w:cstheme="majorBidi"/>
          <w:sz w:val="24"/>
          <w:szCs w:val="24"/>
          <w:lang w:val="en-GB"/>
        </w:rPr>
        <w:t>harmonises</w:t>
      </w:r>
      <w:r w:rsidR="00D85D6E" w:rsidRPr="00BC434D">
        <w:rPr>
          <w:rFonts w:asciiTheme="majorBidi" w:hAnsiTheme="majorBidi" w:cstheme="majorBidi"/>
          <w:sz w:val="24"/>
          <w:szCs w:val="24"/>
          <w:lang w:val="en-GB"/>
        </w:rPr>
        <w:t xml:space="preserve"> or sets </w:t>
      </w:r>
      <w:r w:rsidR="00720470" w:rsidRPr="00BC434D">
        <w:rPr>
          <w:rFonts w:asciiTheme="majorBidi" w:hAnsiTheme="majorBidi" w:cstheme="majorBidi"/>
          <w:sz w:val="24"/>
          <w:szCs w:val="24"/>
          <w:lang w:val="en-GB"/>
        </w:rPr>
        <w:t xml:space="preserve">explicit </w:t>
      </w:r>
      <w:r w:rsidR="00D85D6E" w:rsidRPr="00BC434D">
        <w:rPr>
          <w:rFonts w:asciiTheme="majorBidi" w:hAnsiTheme="majorBidi" w:cstheme="majorBidi"/>
          <w:sz w:val="24"/>
          <w:szCs w:val="24"/>
          <w:lang w:val="en-GB"/>
        </w:rPr>
        <w:t>standa</w:t>
      </w:r>
      <w:r w:rsidR="00720470" w:rsidRPr="00BC434D">
        <w:rPr>
          <w:rFonts w:asciiTheme="majorBidi" w:hAnsiTheme="majorBidi" w:cstheme="majorBidi"/>
          <w:sz w:val="24"/>
          <w:szCs w:val="24"/>
          <w:lang w:val="en-GB"/>
        </w:rPr>
        <w:t xml:space="preserve">rds for </w:t>
      </w:r>
      <w:r w:rsidR="00D631C4" w:rsidRPr="00BC434D">
        <w:rPr>
          <w:rFonts w:asciiTheme="majorBidi" w:hAnsiTheme="majorBidi" w:cstheme="majorBidi"/>
          <w:sz w:val="24"/>
          <w:szCs w:val="24"/>
          <w:lang w:val="en-GB"/>
        </w:rPr>
        <w:t>either</w:t>
      </w:r>
      <w:r w:rsidR="00720470" w:rsidRPr="00BC434D">
        <w:rPr>
          <w:rFonts w:asciiTheme="majorBidi" w:hAnsiTheme="majorBidi" w:cstheme="majorBidi"/>
          <w:sz w:val="24"/>
          <w:szCs w:val="24"/>
          <w:lang w:val="en-GB"/>
        </w:rPr>
        <w:t xml:space="preserve"> succession of digital assets </w:t>
      </w:r>
      <w:r w:rsidR="00D631C4" w:rsidRPr="00BC434D">
        <w:rPr>
          <w:rFonts w:asciiTheme="majorBidi" w:hAnsiTheme="majorBidi" w:cstheme="majorBidi"/>
          <w:sz w:val="24"/>
          <w:szCs w:val="24"/>
          <w:lang w:val="en-GB"/>
        </w:rPr>
        <w:t>or</w:t>
      </w:r>
      <w:r w:rsidR="00720470" w:rsidRPr="00BC434D">
        <w:rPr>
          <w:rFonts w:asciiTheme="majorBidi" w:hAnsiTheme="majorBidi" w:cstheme="majorBidi"/>
          <w:sz w:val="24"/>
          <w:szCs w:val="24"/>
          <w:lang w:val="en-GB"/>
        </w:rPr>
        <w:t xml:space="preserve"> </w:t>
      </w:r>
      <w:r w:rsidR="0046271C" w:rsidRPr="00BC434D">
        <w:rPr>
          <w:rFonts w:asciiTheme="majorBidi" w:hAnsiTheme="majorBidi" w:cstheme="majorBidi"/>
          <w:sz w:val="24"/>
          <w:szCs w:val="24"/>
          <w:lang w:val="en-GB"/>
        </w:rPr>
        <w:t xml:space="preserve">posthumous </w:t>
      </w:r>
      <w:r w:rsidR="000D2CA9" w:rsidRPr="00BC434D">
        <w:rPr>
          <w:rFonts w:asciiTheme="majorBidi" w:hAnsiTheme="majorBidi" w:cstheme="majorBidi"/>
          <w:sz w:val="24"/>
          <w:szCs w:val="24"/>
          <w:lang w:val="en-GB"/>
        </w:rPr>
        <w:t>privacy</w:t>
      </w:r>
      <w:r w:rsidR="006E5586" w:rsidRPr="00BC434D">
        <w:rPr>
          <w:rFonts w:asciiTheme="majorBidi" w:hAnsiTheme="majorBidi" w:cstheme="majorBidi"/>
          <w:sz w:val="24"/>
          <w:szCs w:val="24"/>
          <w:lang w:val="en-GB"/>
        </w:rPr>
        <w:t xml:space="preserve"> regulation.</w:t>
      </w:r>
    </w:p>
    <w:p w14:paraId="301DBD84" w14:textId="5E3B3569" w:rsidR="00402D4F" w:rsidRPr="00BC434D" w:rsidRDefault="00167B95"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According to recital 27 of the General Data Protection Regulation</w:t>
      </w:r>
      <w:r w:rsidR="00323F64" w:rsidRPr="00BC434D">
        <w:rPr>
          <w:rFonts w:asciiTheme="majorBidi" w:hAnsiTheme="majorBidi" w:cstheme="majorBidi"/>
          <w:sz w:val="24"/>
          <w:szCs w:val="24"/>
          <w:lang w:val="en-GB"/>
        </w:rPr>
        <w:t xml:space="preserve"> (GDPR)</w:t>
      </w:r>
      <w:r w:rsidRPr="00BC434D">
        <w:rPr>
          <w:rFonts w:asciiTheme="majorBidi" w:hAnsiTheme="majorBidi" w:cstheme="majorBidi"/>
          <w:sz w:val="24"/>
          <w:szCs w:val="24"/>
          <w:lang w:val="en-GB"/>
        </w:rPr>
        <w:t xml:space="preserve">, the </w:t>
      </w:r>
      <w:r w:rsidR="00402D4F" w:rsidRPr="00BC434D">
        <w:rPr>
          <w:rFonts w:asciiTheme="majorBidi" w:hAnsiTheme="majorBidi" w:cstheme="majorBidi"/>
          <w:sz w:val="24"/>
          <w:szCs w:val="24"/>
          <w:lang w:val="en-GB"/>
        </w:rPr>
        <w:t xml:space="preserve">European </w:t>
      </w:r>
      <w:r w:rsidR="00323F64" w:rsidRPr="00BC434D">
        <w:rPr>
          <w:rFonts w:asciiTheme="majorBidi" w:hAnsiTheme="majorBidi" w:cstheme="majorBidi"/>
          <w:sz w:val="24"/>
          <w:szCs w:val="24"/>
          <w:lang w:val="en-GB"/>
        </w:rPr>
        <w:t>GDPR</w:t>
      </w:r>
      <w:r w:rsidR="008518E7" w:rsidRPr="00BC434D">
        <w:rPr>
          <w:rFonts w:asciiTheme="majorBidi" w:hAnsiTheme="majorBidi" w:cstheme="majorBidi"/>
          <w:sz w:val="24"/>
          <w:szCs w:val="24"/>
          <w:lang w:val="en-GB"/>
        </w:rPr>
        <w:t xml:space="preserve"> is not applicable to the personal data of deceased person</w:t>
      </w:r>
      <w:r w:rsidR="005C7CF6" w:rsidRPr="00BC434D">
        <w:rPr>
          <w:rFonts w:asciiTheme="majorBidi" w:hAnsiTheme="majorBidi" w:cstheme="majorBidi"/>
          <w:sz w:val="24"/>
          <w:szCs w:val="24"/>
          <w:lang w:val="en-GB"/>
        </w:rPr>
        <w:t>s.</w:t>
      </w:r>
      <w:r w:rsidR="00100804" w:rsidRPr="00BC434D">
        <w:rPr>
          <w:rStyle w:val="FootnoteReference"/>
          <w:rFonts w:asciiTheme="majorBidi" w:hAnsiTheme="majorBidi" w:cstheme="majorBidi"/>
          <w:sz w:val="24"/>
          <w:szCs w:val="24"/>
          <w:lang w:val="en-GB"/>
        </w:rPr>
        <w:footnoteReference w:id="14"/>
      </w:r>
      <w:r w:rsidR="00317482" w:rsidRPr="00BC434D">
        <w:rPr>
          <w:rFonts w:asciiTheme="majorBidi" w:hAnsiTheme="majorBidi" w:cstheme="majorBidi"/>
          <w:sz w:val="24"/>
          <w:szCs w:val="24"/>
          <w:lang w:val="en-GB"/>
        </w:rPr>
        <w:t xml:space="preserve"> </w:t>
      </w:r>
      <w:r w:rsidR="00443547" w:rsidRPr="00BC434D">
        <w:rPr>
          <w:rFonts w:asciiTheme="majorBidi" w:hAnsiTheme="majorBidi" w:cstheme="majorBidi"/>
          <w:sz w:val="24"/>
          <w:szCs w:val="24"/>
          <w:lang w:val="en-GB"/>
        </w:rPr>
        <w:t>However, the</w:t>
      </w:r>
      <w:r w:rsidR="00CD19F2" w:rsidRPr="00BC434D">
        <w:rPr>
          <w:rFonts w:asciiTheme="majorBidi" w:hAnsiTheme="majorBidi" w:cstheme="majorBidi"/>
          <w:sz w:val="24"/>
          <w:szCs w:val="24"/>
          <w:lang w:val="en-GB"/>
        </w:rPr>
        <w:t xml:space="preserve"> Member States were left free to implement their own decisions and regulations regarding the post-mortem data and data subjects</w:t>
      </w:r>
      <w:r w:rsidR="00810E36">
        <w:rPr>
          <w:rFonts w:asciiTheme="majorBidi" w:hAnsiTheme="majorBidi" w:cstheme="majorBidi"/>
          <w:sz w:val="24"/>
          <w:szCs w:val="24"/>
          <w:lang w:val="en-GB"/>
        </w:rPr>
        <w:t>’</w:t>
      </w:r>
      <w:r w:rsidR="00CD19F2" w:rsidRPr="00BC434D">
        <w:rPr>
          <w:rFonts w:asciiTheme="majorBidi" w:hAnsiTheme="majorBidi" w:cstheme="majorBidi"/>
          <w:sz w:val="24"/>
          <w:szCs w:val="24"/>
          <w:lang w:val="en-GB"/>
        </w:rPr>
        <w:t xml:space="preserve"> protection. Despite the </w:t>
      </w:r>
      <w:r w:rsidR="00A06FA9" w:rsidRPr="00BC434D">
        <w:rPr>
          <w:rFonts w:asciiTheme="majorBidi" w:hAnsiTheme="majorBidi" w:cstheme="majorBidi"/>
          <w:sz w:val="24"/>
          <w:szCs w:val="24"/>
          <w:lang w:val="en-GB"/>
        </w:rPr>
        <w:t>recommendation</w:t>
      </w:r>
      <w:r w:rsidR="00810E36">
        <w:rPr>
          <w:rFonts w:asciiTheme="majorBidi" w:hAnsiTheme="majorBidi" w:cstheme="majorBidi"/>
          <w:sz w:val="24"/>
          <w:szCs w:val="24"/>
          <w:lang w:val="en-GB"/>
        </w:rPr>
        <w:t>’</w:t>
      </w:r>
      <w:r w:rsidR="00A06FA9" w:rsidRPr="00BC434D">
        <w:rPr>
          <w:rFonts w:asciiTheme="majorBidi" w:hAnsiTheme="majorBidi" w:cstheme="majorBidi"/>
          <w:sz w:val="24"/>
          <w:szCs w:val="24"/>
          <w:lang w:val="en-GB"/>
        </w:rPr>
        <w:t>s non-mandatory nature, GDPR has</w:t>
      </w:r>
      <w:r w:rsidR="00CD19F2" w:rsidRPr="00BC434D">
        <w:rPr>
          <w:rFonts w:asciiTheme="majorBidi" w:hAnsiTheme="majorBidi" w:cstheme="majorBidi"/>
          <w:sz w:val="24"/>
          <w:szCs w:val="24"/>
          <w:lang w:val="en-GB"/>
        </w:rPr>
        <w:t xml:space="preserve"> stirred a wave of post-mortem property and data regulation that is forcing us to rethink our vision of these phenomena.</w:t>
      </w:r>
      <w:r w:rsidR="007B513C" w:rsidRPr="00BC434D">
        <w:rPr>
          <w:rStyle w:val="FootnoteReference"/>
          <w:rFonts w:asciiTheme="majorBidi" w:hAnsiTheme="majorBidi" w:cstheme="majorBidi"/>
          <w:sz w:val="24"/>
          <w:szCs w:val="24"/>
          <w:lang w:val="en-GB"/>
        </w:rPr>
        <w:footnoteReference w:id="15"/>
      </w:r>
      <w:r w:rsidR="00B24E87" w:rsidRPr="00BC434D">
        <w:rPr>
          <w:rFonts w:asciiTheme="majorBidi" w:hAnsiTheme="majorBidi" w:cstheme="majorBidi"/>
          <w:sz w:val="24"/>
          <w:szCs w:val="24"/>
          <w:lang w:val="en-GB"/>
        </w:rPr>
        <w:t xml:space="preserve"> </w:t>
      </w:r>
      <w:r w:rsidR="008258D1" w:rsidRPr="00BC434D">
        <w:rPr>
          <w:rFonts w:asciiTheme="majorBidi" w:hAnsiTheme="majorBidi" w:cstheme="majorBidi"/>
          <w:sz w:val="24"/>
          <w:szCs w:val="24"/>
          <w:lang w:val="en-GB"/>
        </w:rPr>
        <w:t>Legislative responses to the encouragement to self-regulate post</w:t>
      </w:r>
      <w:r w:rsidR="00757191" w:rsidRPr="00BC434D">
        <w:rPr>
          <w:rFonts w:asciiTheme="majorBidi" w:hAnsiTheme="majorBidi" w:cstheme="majorBidi"/>
          <w:sz w:val="24"/>
          <w:szCs w:val="24"/>
          <w:lang w:val="en-GB"/>
        </w:rPr>
        <w:t>-</w:t>
      </w:r>
      <w:r w:rsidR="008258D1" w:rsidRPr="00BC434D">
        <w:rPr>
          <w:rFonts w:asciiTheme="majorBidi" w:hAnsiTheme="majorBidi" w:cstheme="majorBidi"/>
          <w:sz w:val="24"/>
          <w:szCs w:val="24"/>
          <w:lang w:val="en-GB"/>
        </w:rPr>
        <w:t xml:space="preserve">mortem privacy vary widely from </w:t>
      </w:r>
      <w:r w:rsidR="00FD3028" w:rsidRPr="00BC434D">
        <w:rPr>
          <w:rFonts w:asciiTheme="majorBidi" w:hAnsiTheme="majorBidi" w:cstheme="majorBidi"/>
          <w:sz w:val="24"/>
          <w:szCs w:val="24"/>
          <w:lang w:val="en-GB"/>
        </w:rPr>
        <w:t>MS</w:t>
      </w:r>
      <w:r w:rsidR="008258D1" w:rsidRPr="00BC434D">
        <w:rPr>
          <w:rFonts w:asciiTheme="majorBidi" w:hAnsiTheme="majorBidi" w:cstheme="majorBidi"/>
          <w:sz w:val="24"/>
          <w:szCs w:val="24"/>
          <w:lang w:val="en-GB"/>
        </w:rPr>
        <w:t xml:space="preserve"> to </w:t>
      </w:r>
      <w:r w:rsidR="00FD3028" w:rsidRPr="00BC434D">
        <w:rPr>
          <w:rFonts w:asciiTheme="majorBidi" w:hAnsiTheme="majorBidi" w:cstheme="majorBidi"/>
          <w:sz w:val="24"/>
          <w:szCs w:val="24"/>
          <w:lang w:val="en-GB"/>
        </w:rPr>
        <w:t>MS</w:t>
      </w:r>
      <w:r w:rsidR="008258D1" w:rsidRPr="00BC434D">
        <w:rPr>
          <w:rFonts w:asciiTheme="majorBidi" w:hAnsiTheme="majorBidi" w:cstheme="majorBidi"/>
          <w:sz w:val="24"/>
          <w:szCs w:val="24"/>
          <w:lang w:val="en-GB"/>
        </w:rPr>
        <w:t xml:space="preserve">: non-implementation </w:t>
      </w:r>
      <w:r w:rsidR="00B24A41" w:rsidRPr="00BC434D">
        <w:rPr>
          <w:rFonts w:asciiTheme="majorBidi" w:hAnsiTheme="majorBidi" w:cstheme="majorBidi"/>
          <w:sz w:val="24"/>
          <w:szCs w:val="24"/>
          <w:lang w:val="en-GB"/>
        </w:rPr>
        <w:t xml:space="preserve">and various examples of </w:t>
      </w:r>
      <w:r w:rsidR="008258D1" w:rsidRPr="00BC434D">
        <w:rPr>
          <w:rFonts w:asciiTheme="majorBidi" w:hAnsiTheme="majorBidi" w:cstheme="majorBidi"/>
          <w:sz w:val="24"/>
          <w:szCs w:val="24"/>
          <w:lang w:val="en-GB"/>
        </w:rPr>
        <w:t xml:space="preserve">partial implementation. There have also been court proceedings, which in this context, can give us a better understanding of the consequences of these regulations and help form an idea of the potential for </w:t>
      </w:r>
      <w:r w:rsidR="004F7350" w:rsidRPr="00BC434D">
        <w:rPr>
          <w:rFonts w:asciiTheme="majorBidi" w:hAnsiTheme="majorBidi" w:cstheme="majorBidi"/>
          <w:sz w:val="24"/>
          <w:szCs w:val="24"/>
          <w:lang w:val="en-GB"/>
        </w:rPr>
        <w:t>harmonisation</w:t>
      </w:r>
      <w:r w:rsidR="008258D1" w:rsidRPr="00BC434D">
        <w:rPr>
          <w:rFonts w:asciiTheme="majorBidi" w:hAnsiTheme="majorBidi" w:cstheme="majorBidi"/>
          <w:sz w:val="24"/>
          <w:szCs w:val="24"/>
          <w:lang w:val="en-GB"/>
        </w:rPr>
        <w:t>.</w:t>
      </w:r>
      <w:r w:rsidR="00A3073F" w:rsidRPr="00BC434D">
        <w:rPr>
          <w:rFonts w:asciiTheme="majorBidi" w:hAnsiTheme="majorBidi" w:cstheme="majorBidi"/>
          <w:sz w:val="24"/>
          <w:szCs w:val="24"/>
          <w:lang w:val="en-GB"/>
        </w:rPr>
        <w:t xml:space="preserve"> </w:t>
      </w:r>
    </w:p>
    <w:p w14:paraId="4564FD65" w14:textId="581BB42A" w:rsidR="00757191" w:rsidRPr="00BC434D" w:rsidRDefault="00757191"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 xml:space="preserve">In the next section, as part of a comparative analysis, </w:t>
      </w:r>
      <w:r w:rsidR="00FD3028" w:rsidRPr="00BC434D">
        <w:rPr>
          <w:rFonts w:asciiTheme="majorBidi" w:hAnsiTheme="majorBidi" w:cstheme="majorBidi"/>
          <w:sz w:val="24"/>
          <w:szCs w:val="24"/>
          <w:lang w:val="en-GB"/>
        </w:rPr>
        <w:t xml:space="preserve">the approaches of </w:t>
      </w:r>
      <w:r w:rsidRPr="00BC434D">
        <w:rPr>
          <w:rFonts w:asciiTheme="majorBidi" w:hAnsiTheme="majorBidi" w:cstheme="majorBidi"/>
          <w:sz w:val="24"/>
          <w:szCs w:val="24"/>
          <w:lang w:val="en-GB"/>
        </w:rPr>
        <w:t xml:space="preserve">such countries as Germany, Italy and France will be </w:t>
      </w:r>
      <w:r w:rsidR="00FD3028" w:rsidRPr="00BC434D">
        <w:rPr>
          <w:rFonts w:asciiTheme="majorBidi" w:hAnsiTheme="majorBidi" w:cstheme="majorBidi"/>
          <w:sz w:val="24"/>
          <w:szCs w:val="24"/>
          <w:lang w:val="en-GB"/>
        </w:rPr>
        <w:t xml:space="preserve">carefully </w:t>
      </w:r>
      <w:r w:rsidR="00CE7DDE" w:rsidRPr="00BC434D">
        <w:rPr>
          <w:rFonts w:asciiTheme="majorBidi" w:hAnsiTheme="majorBidi" w:cstheme="majorBidi"/>
          <w:sz w:val="24"/>
          <w:szCs w:val="24"/>
          <w:lang w:val="en-GB"/>
        </w:rPr>
        <w:t>assessed.</w:t>
      </w:r>
    </w:p>
    <w:p w14:paraId="7914A106" w14:textId="5C93183C" w:rsidR="003A0E78" w:rsidRPr="00BC434D" w:rsidRDefault="003E1B06" w:rsidP="00D848BE">
      <w:pPr>
        <w:pStyle w:val="Heading1"/>
        <w:spacing w:line="276" w:lineRule="auto"/>
        <w:jc w:val="both"/>
        <w:rPr>
          <w:rFonts w:asciiTheme="majorBidi" w:hAnsiTheme="majorBidi"/>
          <w:color w:val="auto"/>
          <w:sz w:val="24"/>
          <w:szCs w:val="24"/>
          <w:lang w:val="en-GB"/>
        </w:rPr>
      </w:pPr>
      <w:r w:rsidRPr="00BC434D">
        <w:rPr>
          <w:rFonts w:asciiTheme="majorBidi" w:hAnsiTheme="majorBidi"/>
          <w:color w:val="auto"/>
          <w:sz w:val="24"/>
          <w:szCs w:val="24"/>
          <w:lang w:val="en-GB"/>
        </w:rPr>
        <w:t xml:space="preserve">EU Member </w:t>
      </w:r>
      <w:r w:rsidR="00E50864" w:rsidRPr="00BC434D">
        <w:rPr>
          <w:rFonts w:asciiTheme="majorBidi" w:hAnsiTheme="majorBidi"/>
          <w:color w:val="auto"/>
          <w:sz w:val="24"/>
          <w:szCs w:val="24"/>
          <w:lang w:val="en-GB"/>
        </w:rPr>
        <w:t>States’</w:t>
      </w:r>
      <w:r w:rsidRPr="00BC434D">
        <w:rPr>
          <w:rFonts w:asciiTheme="majorBidi" w:hAnsiTheme="majorBidi"/>
          <w:color w:val="auto"/>
          <w:sz w:val="24"/>
          <w:szCs w:val="24"/>
          <w:lang w:val="en-GB"/>
        </w:rPr>
        <w:t xml:space="preserve"> national level regulation</w:t>
      </w:r>
      <w:r w:rsidR="00E50864" w:rsidRPr="00BC434D">
        <w:rPr>
          <w:rFonts w:asciiTheme="majorBidi" w:hAnsiTheme="majorBidi"/>
          <w:color w:val="auto"/>
          <w:sz w:val="24"/>
          <w:szCs w:val="24"/>
          <w:lang w:val="en-GB"/>
        </w:rPr>
        <w:t>:</w:t>
      </w:r>
    </w:p>
    <w:p w14:paraId="12159196" w14:textId="77777777" w:rsidR="004342B4" w:rsidRPr="00BC434D" w:rsidRDefault="004342B4" w:rsidP="00D848BE">
      <w:pPr>
        <w:spacing w:line="276" w:lineRule="auto"/>
        <w:rPr>
          <w:rFonts w:asciiTheme="majorBidi" w:hAnsiTheme="majorBidi" w:cstheme="majorBidi"/>
          <w:sz w:val="24"/>
          <w:szCs w:val="24"/>
          <w:lang w:val="en-GB"/>
        </w:rPr>
      </w:pPr>
    </w:p>
    <w:p w14:paraId="2C68D22E" w14:textId="5A9C8E1B" w:rsidR="00CF5658" w:rsidRPr="00BC434D" w:rsidRDefault="003E1B06" w:rsidP="00D848BE">
      <w:pPr>
        <w:pStyle w:val="Heading2"/>
        <w:numPr>
          <w:ilvl w:val="1"/>
          <w:numId w:val="18"/>
        </w:numPr>
        <w:spacing w:line="276" w:lineRule="auto"/>
        <w:rPr>
          <w:rFonts w:asciiTheme="majorBidi" w:hAnsiTheme="majorBidi"/>
          <w:b/>
          <w:bCs/>
          <w:i/>
          <w:iCs/>
          <w:color w:val="auto"/>
          <w:sz w:val="24"/>
          <w:szCs w:val="24"/>
          <w:lang w:val="en-GB"/>
        </w:rPr>
      </w:pPr>
      <w:r w:rsidRPr="00BC434D">
        <w:rPr>
          <w:rFonts w:asciiTheme="majorBidi" w:hAnsiTheme="majorBidi"/>
          <w:b/>
          <w:bCs/>
          <w:i/>
          <w:iCs/>
          <w:color w:val="auto"/>
          <w:sz w:val="24"/>
          <w:szCs w:val="24"/>
          <w:lang w:val="en-GB"/>
        </w:rPr>
        <w:t>Germany</w:t>
      </w:r>
      <w:r w:rsidR="00663DD5" w:rsidRPr="00BC434D">
        <w:rPr>
          <w:rFonts w:asciiTheme="majorBidi" w:hAnsiTheme="majorBidi"/>
          <w:b/>
          <w:bCs/>
          <w:i/>
          <w:iCs/>
          <w:color w:val="auto"/>
          <w:sz w:val="24"/>
          <w:szCs w:val="24"/>
          <w:lang w:val="en-GB"/>
        </w:rPr>
        <w:br/>
      </w:r>
    </w:p>
    <w:p w14:paraId="6C65F106" w14:textId="42F15E9E" w:rsidR="00CF5658" w:rsidRPr="00BC434D" w:rsidRDefault="00CF5658"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Germany</w:t>
      </w:r>
      <w:r w:rsidR="007C339F"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 in the context of conditional </w:t>
      </w:r>
      <w:r w:rsidR="004F7350" w:rsidRPr="00BC434D">
        <w:rPr>
          <w:rFonts w:asciiTheme="majorBidi" w:hAnsiTheme="majorBidi" w:cstheme="majorBidi"/>
          <w:sz w:val="24"/>
          <w:szCs w:val="24"/>
          <w:lang w:val="en-GB"/>
        </w:rPr>
        <w:t>categorisation</w:t>
      </w:r>
      <w:r w:rsidR="007C339F" w:rsidRPr="00BC434D">
        <w:rPr>
          <w:rFonts w:asciiTheme="majorBidi" w:hAnsiTheme="majorBidi" w:cstheme="majorBidi"/>
          <w:sz w:val="24"/>
          <w:szCs w:val="24"/>
          <w:lang w:val="en-GB"/>
        </w:rPr>
        <w:t>,</w:t>
      </w:r>
      <w:r w:rsidR="00732BD4" w:rsidRPr="00BC434D">
        <w:rPr>
          <w:rFonts w:asciiTheme="majorBidi" w:hAnsiTheme="majorBidi" w:cstheme="majorBidi"/>
          <w:sz w:val="24"/>
          <w:szCs w:val="24"/>
          <w:lang w:val="en-GB"/>
        </w:rPr>
        <w:t xml:space="preserve"> belongs</w:t>
      </w:r>
      <w:r w:rsidRPr="00BC434D">
        <w:rPr>
          <w:rFonts w:asciiTheme="majorBidi" w:hAnsiTheme="majorBidi" w:cstheme="majorBidi"/>
          <w:sz w:val="24"/>
          <w:szCs w:val="24"/>
          <w:lang w:val="en-GB"/>
        </w:rPr>
        <w:t xml:space="preserve"> to countries in which the issue of posthumous privacy in the absence of GDPR incorporation for its regulation is considered in the context of </w:t>
      </w:r>
      <w:r w:rsidRPr="00BC434D">
        <w:rPr>
          <w:rFonts w:asciiTheme="majorBidi" w:hAnsiTheme="majorBidi" w:cstheme="majorBidi"/>
          <w:b/>
          <w:bCs/>
          <w:sz w:val="24"/>
          <w:szCs w:val="24"/>
          <w:lang w:val="en-GB"/>
        </w:rPr>
        <w:t>the conflict of contract law</w:t>
      </w:r>
      <w:r w:rsidR="00C97375" w:rsidRPr="00BC434D">
        <w:rPr>
          <w:rFonts w:asciiTheme="majorBidi" w:hAnsiTheme="majorBidi" w:cstheme="majorBidi"/>
          <w:b/>
          <w:bCs/>
          <w:sz w:val="24"/>
          <w:szCs w:val="24"/>
          <w:lang w:val="en-GB"/>
        </w:rPr>
        <w:t xml:space="preserve">, meaning the contract of services between the </w:t>
      </w:r>
      <w:r w:rsidR="007C339F" w:rsidRPr="00BC434D">
        <w:rPr>
          <w:rFonts w:asciiTheme="majorBidi" w:hAnsiTheme="majorBidi" w:cstheme="majorBidi"/>
          <w:b/>
          <w:bCs/>
          <w:sz w:val="24"/>
          <w:szCs w:val="24"/>
          <w:lang w:val="en-GB"/>
        </w:rPr>
        <w:t>intermediary platform and the user,</w:t>
      </w:r>
      <w:r w:rsidRPr="00BC434D">
        <w:rPr>
          <w:rFonts w:asciiTheme="majorBidi" w:hAnsiTheme="majorBidi" w:cstheme="majorBidi"/>
          <w:b/>
          <w:bCs/>
          <w:sz w:val="24"/>
          <w:szCs w:val="24"/>
          <w:lang w:val="en-GB"/>
        </w:rPr>
        <w:t xml:space="preserve"> and inheritance law.</w:t>
      </w:r>
    </w:p>
    <w:p w14:paraId="23672DE5" w14:textId="2751CE32" w:rsidR="005C4CDC" w:rsidRPr="00BC434D" w:rsidRDefault="00F76695"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lastRenderedPageBreak/>
        <w:t>The assessment</w:t>
      </w:r>
      <w:r w:rsidR="005C4CDC" w:rsidRPr="00BC434D">
        <w:rPr>
          <w:rFonts w:asciiTheme="majorBidi" w:hAnsiTheme="majorBidi" w:cstheme="majorBidi"/>
          <w:sz w:val="24"/>
          <w:szCs w:val="24"/>
          <w:lang w:val="en-GB"/>
        </w:rPr>
        <w:t xml:space="preserve"> of the right to inherit and the right to access the account within the </w:t>
      </w:r>
      <w:r w:rsidR="004F7350" w:rsidRPr="00BC434D">
        <w:rPr>
          <w:rFonts w:asciiTheme="majorBidi" w:hAnsiTheme="majorBidi" w:cstheme="majorBidi"/>
          <w:sz w:val="24"/>
          <w:szCs w:val="24"/>
          <w:lang w:val="en-GB"/>
        </w:rPr>
        <w:t>six</w:t>
      </w:r>
      <w:r w:rsidR="005C4CDC" w:rsidRPr="00BC434D">
        <w:rPr>
          <w:rFonts w:asciiTheme="majorBidi" w:hAnsiTheme="majorBidi" w:cstheme="majorBidi"/>
          <w:sz w:val="24"/>
          <w:szCs w:val="24"/>
          <w:lang w:val="en-GB"/>
        </w:rPr>
        <w:t xml:space="preserve"> instances of the court of the fundamental</w:t>
      </w:r>
      <w:r w:rsidR="00F349DA" w:rsidRPr="00BC434D">
        <w:rPr>
          <w:rFonts w:asciiTheme="majorBidi" w:hAnsiTheme="majorBidi" w:cstheme="majorBidi"/>
          <w:sz w:val="24"/>
          <w:szCs w:val="24"/>
          <w:lang w:val="en-GB"/>
        </w:rPr>
        <w:t xml:space="preserve"> LG Berlin, 20 O 172/15</w:t>
      </w:r>
      <w:r w:rsidR="00216168" w:rsidRPr="00BC434D">
        <w:rPr>
          <w:rStyle w:val="FootnoteReference"/>
          <w:rFonts w:asciiTheme="majorBidi" w:hAnsiTheme="majorBidi" w:cstheme="majorBidi"/>
          <w:sz w:val="24"/>
          <w:szCs w:val="24"/>
          <w:lang w:val="en-GB"/>
        </w:rPr>
        <w:footnoteReference w:id="16"/>
      </w:r>
      <w:r w:rsidR="00F349DA" w:rsidRPr="00BC434D">
        <w:rPr>
          <w:rFonts w:asciiTheme="majorBidi" w:hAnsiTheme="majorBidi" w:cstheme="majorBidi"/>
          <w:sz w:val="24"/>
          <w:szCs w:val="24"/>
          <w:lang w:val="en-GB"/>
        </w:rPr>
        <w:t xml:space="preserve">, </w:t>
      </w:r>
      <w:r w:rsidR="00C971B1" w:rsidRPr="00BC434D">
        <w:rPr>
          <w:rFonts w:asciiTheme="majorBidi" w:hAnsiTheme="majorBidi" w:cstheme="majorBidi"/>
          <w:sz w:val="24"/>
          <w:szCs w:val="24"/>
          <w:lang w:val="en-GB"/>
        </w:rPr>
        <w:t>(</w:t>
      </w:r>
      <w:r w:rsidR="001717DA" w:rsidRPr="00BC434D">
        <w:rPr>
          <w:rFonts w:asciiTheme="majorBidi" w:hAnsiTheme="majorBidi" w:cstheme="majorBidi"/>
          <w:sz w:val="24"/>
          <w:szCs w:val="24"/>
          <w:lang w:val="en-GB"/>
        </w:rPr>
        <w:t>“</w:t>
      </w:r>
      <w:r w:rsidR="005C4CDC" w:rsidRPr="00BC434D">
        <w:rPr>
          <w:rFonts w:asciiTheme="majorBidi" w:hAnsiTheme="majorBidi" w:cstheme="majorBidi"/>
          <w:sz w:val="24"/>
          <w:szCs w:val="24"/>
          <w:lang w:val="en-GB"/>
        </w:rPr>
        <w:t>LG Berlin</w:t>
      </w:r>
      <w:r w:rsidR="001717DA" w:rsidRPr="00BC434D">
        <w:rPr>
          <w:rFonts w:asciiTheme="majorBidi" w:hAnsiTheme="majorBidi" w:cstheme="majorBidi"/>
          <w:sz w:val="24"/>
          <w:szCs w:val="24"/>
          <w:lang w:val="en-GB"/>
        </w:rPr>
        <w:t>”</w:t>
      </w:r>
      <w:r w:rsidR="00C971B1" w:rsidRPr="00BC434D">
        <w:rPr>
          <w:rFonts w:asciiTheme="majorBidi" w:hAnsiTheme="majorBidi" w:cstheme="majorBidi"/>
          <w:sz w:val="24"/>
          <w:szCs w:val="24"/>
          <w:lang w:val="en-GB"/>
        </w:rPr>
        <w:t>) case</w:t>
      </w:r>
      <w:r w:rsidRPr="00BC434D">
        <w:rPr>
          <w:rFonts w:asciiTheme="majorBidi" w:hAnsiTheme="majorBidi" w:cstheme="majorBidi"/>
          <w:sz w:val="24"/>
          <w:szCs w:val="24"/>
          <w:lang w:val="en-GB"/>
        </w:rPr>
        <w:t xml:space="preserve"> </w:t>
      </w:r>
      <w:r w:rsidR="00810E36">
        <w:rPr>
          <w:rFonts w:asciiTheme="majorBidi" w:hAnsiTheme="majorBidi" w:cstheme="majorBidi"/>
          <w:sz w:val="24"/>
          <w:szCs w:val="24"/>
          <w:lang w:val="en-GB"/>
        </w:rPr>
        <w:t>–</w:t>
      </w:r>
      <w:r w:rsidR="005C4CDC" w:rsidRPr="00BC434D">
        <w:rPr>
          <w:rFonts w:asciiTheme="majorBidi" w:hAnsiTheme="majorBidi" w:cstheme="majorBidi"/>
          <w:sz w:val="24"/>
          <w:szCs w:val="24"/>
          <w:lang w:val="en-GB"/>
        </w:rPr>
        <w:t xml:space="preserve"> the first major European case on the issues of digital inheritance of </w:t>
      </w:r>
      <w:r w:rsidR="00C971B1" w:rsidRPr="00BC434D">
        <w:rPr>
          <w:rFonts w:asciiTheme="majorBidi" w:hAnsiTheme="majorBidi" w:cstheme="majorBidi"/>
          <w:sz w:val="24"/>
          <w:szCs w:val="24"/>
          <w:lang w:val="en-GB"/>
        </w:rPr>
        <w:t xml:space="preserve">social media </w:t>
      </w:r>
      <w:r w:rsidR="005C4CDC" w:rsidRPr="00BC434D">
        <w:rPr>
          <w:rFonts w:asciiTheme="majorBidi" w:hAnsiTheme="majorBidi" w:cstheme="majorBidi"/>
          <w:sz w:val="24"/>
          <w:szCs w:val="24"/>
          <w:lang w:val="en-GB"/>
        </w:rPr>
        <w:t xml:space="preserve">accounts and, accordingly, posthumous </w:t>
      </w:r>
      <w:r w:rsidR="00CA08EE" w:rsidRPr="00BC434D">
        <w:rPr>
          <w:rFonts w:asciiTheme="majorBidi" w:hAnsiTheme="majorBidi" w:cstheme="majorBidi"/>
          <w:sz w:val="24"/>
          <w:szCs w:val="24"/>
          <w:lang w:val="en-GB"/>
        </w:rPr>
        <w:t xml:space="preserve">data </w:t>
      </w:r>
      <w:r w:rsidR="005C4CDC" w:rsidRPr="00BC434D">
        <w:rPr>
          <w:rFonts w:asciiTheme="majorBidi" w:hAnsiTheme="majorBidi" w:cstheme="majorBidi"/>
          <w:sz w:val="24"/>
          <w:szCs w:val="24"/>
          <w:lang w:val="en-GB"/>
        </w:rPr>
        <w:t xml:space="preserve">privacy directly </w:t>
      </w:r>
      <w:r w:rsidR="00BF2EC9" w:rsidRPr="00BC434D">
        <w:rPr>
          <w:rFonts w:asciiTheme="majorBidi" w:hAnsiTheme="majorBidi" w:cstheme="majorBidi"/>
          <w:sz w:val="24"/>
          <w:szCs w:val="24"/>
          <w:lang w:val="en-GB"/>
        </w:rPr>
        <w:t>linked</w:t>
      </w:r>
      <w:r w:rsidR="005C4CDC" w:rsidRPr="00BC434D">
        <w:rPr>
          <w:rFonts w:asciiTheme="majorBidi" w:hAnsiTheme="majorBidi" w:cstheme="majorBidi"/>
          <w:sz w:val="24"/>
          <w:szCs w:val="24"/>
          <w:lang w:val="en-GB"/>
        </w:rPr>
        <w:t xml:space="preserve"> to </w:t>
      </w:r>
      <w:r w:rsidR="00BF2EC9" w:rsidRPr="00BC434D">
        <w:rPr>
          <w:rFonts w:asciiTheme="majorBidi" w:hAnsiTheme="majorBidi" w:cstheme="majorBidi"/>
          <w:sz w:val="24"/>
          <w:szCs w:val="24"/>
          <w:lang w:val="en-GB"/>
        </w:rPr>
        <w:t>the transfer accompanying it</w:t>
      </w:r>
      <w:r w:rsidR="005C4CDC" w:rsidRPr="00BC434D">
        <w:rPr>
          <w:rFonts w:asciiTheme="majorBidi" w:hAnsiTheme="majorBidi" w:cstheme="majorBidi"/>
          <w:sz w:val="24"/>
          <w:szCs w:val="24"/>
          <w:lang w:val="en-GB"/>
        </w:rPr>
        <w:t>, clearly and in detail demonstrate</w:t>
      </w:r>
      <w:r w:rsidR="00713C89" w:rsidRPr="00BC434D">
        <w:rPr>
          <w:rFonts w:asciiTheme="majorBidi" w:hAnsiTheme="majorBidi" w:cstheme="majorBidi"/>
          <w:sz w:val="24"/>
          <w:szCs w:val="24"/>
          <w:lang w:val="en-GB"/>
        </w:rPr>
        <w:t>s</w:t>
      </w:r>
      <w:r w:rsidR="005C4CDC" w:rsidRPr="00BC434D">
        <w:rPr>
          <w:rFonts w:asciiTheme="majorBidi" w:hAnsiTheme="majorBidi" w:cstheme="majorBidi"/>
          <w:sz w:val="24"/>
          <w:szCs w:val="24"/>
          <w:lang w:val="en-GB"/>
        </w:rPr>
        <w:t xml:space="preserve"> the logic and specificity of the approach from the position </w:t>
      </w:r>
      <w:r w:rsidR="00072EB9" w:rsidRPr="00BC434D">
        <w:rPr>
          <w:rFonts w:asciiTheme="majorBidi" w:hAnsiTheme="majorBidi" w:cstheme="majorBidi"/>
          <w:sz w:val="24"/>
          <w:szCs w:val="24"/>
          <w:lang w:val="en-GB"/>
        </w:rPr>
        <w:t xml:space="preserve">of reaching the </w:t>
      </w:r>
      <w:r w:rsidR="005C4CDC" w:rsidRPr="00BC434D">
        <w:rPr>
          <w:rFonts w:asciiTheme="majorBidi" w:hAnsiTheme="majorBidi" w:cstheme="majorBidi"/>
          <w:sz w:val="24"/>
          <w:szCs w:val="24"/>
          <w:lang w:val="en-GB"/>
        </w:rPr>
        <w:t>objectives of protection of property rights in the context of the principle of universal</w:t>
      </w:r>
      <w:r w:rsidR="00072EB9" w:rsidRPr="00BC434D">
        <w:rPr>
          <w:rFonts w:asciiTheme="majorBidi" w:hAnsiTheme="majorBidi" w:cstheme="majorBidi"/>
          <w:sz w:val="24"/>
          <w:szCs w:val="24"/>
          <w:lang w:val="en-GB"/>
        </w:rPr>
        <w:t xml:space="preserve"> </w:t>
      </w:r>
      <w:r w:rsidR="007C6088" w:rsidRPr="00BC434D">
        <w:rPr>
          <w:rFonts w:asciiTheme="majorBidi" w:hAnsiTheme="majorBidi" w:cstheme="majorBidi"/>
          <w:sz w:val="24"/>
          <w:szCs w:val="24"/>
          <w:lang w:val="en-GB"/>
        </w:rPr>
        <w:t>succession</w:t>
      </w:r>
      <w:r w:rsidR="005C4CDC" w:rsidRPr="00BC434D">
        <w:rPr>
          <w:rFonts w:asciiTheme="majorBidi" w:hAnsiTheme="majorBidi" w:cstheme="majorBidi"/>
          <w:sz w:val="24"/>
          <w:szCs w:val="24"/>
          <w:lang w:val="en-GB"/>
        </w:rPr>
        <w:t>.</w:t>
      </w:r>
      <w:r w:rsidR="00072EB9" w:rsidRPr="00BC434D">
        <w:rPr>
          <w:rStyle w:val="FootnoteReference"/>
          <w:rFonts w:asciiTheme="majorBidi" w:hAnsiTheme="majorBidi" w:cstheme="majorBidi"/>
          <w:sz w:val="24"/>
          <w:szCs w:val="24"/>
          <w:lang w:val="en-GB"/>
        </w:rPr>
        <w:footnoteReference w:id="17"/>
      </w:r>
    </w:p>
    <w:p w14:paraId="2B3E38AC" w14:textId="284B693D" w:rsidR="00474A2C" w:rsidRPr="00BC434D" w:rsidRDefault="00474A2C"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LG Berlin concerned the parents</w:t>
      </w:r>
      <w:r w:rsidR="00810E36">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 right of access to the Facebook account of </w:t>
      </w:r>
      <w:r w:rsidR="00A91719" w:rsidRPr="00BC434D">
        <w:rPr>
          <w:rFonts w:asciiTheme="majorBidi" w:hAnsiTheme="majorBidi" w:cstheme="majorBidi"/>
          <w:sz w:val="24"/>
          <w:szCs w:val="24"/>
          <w:lang w:val="en-GB"/>
        </w:rPr>
        <w:t>their underaged</w:t>
      </w:r>
      <w:r w:rsidRPr="00BC434D">
        <w:rPr>
          <w:rFonts w:asciiTheme="majorBidi" w:hAnsiTheme="majorBidi" w:cstheme="majorBidi"/>
          <w:sz w:val="24"/>
          <w:szCs w:val="24"/>
          <w:lang w:val="en-GB"/>
        </w:rPr>
        <w:t xml:space="preserve"> daughter who had committed suicide: the mother tried to log into the account, but </w:t>
      </w:r>
      <w:r w:rsidR="00CB1930" w:rsidRPr="00BC434D">
        <w:rPr>
          <w:rFonts w:asciiTheme="majorBidi" w:hAnsiTheme="majorBidi" w:cstheme="majorBidi"/>
          <w:sz w:val="24"/>
          <w:szCs w:val="24"/>
          <w:lang w:val="en-GB"/>
        </w:rPr>
        <w:t>the access was restricted</w:t>
      </w:r>
      <w:r w:rsidRPr="00BC434D">
        <w:rPr>
          <w:rFonts w:asciiTheme="majorBidi" w:hAnsiTheme="majorBidi" w:cstheme="majorBidi"/>
          <w:sz w:val="24"/>
          <w:szCs w:val="24"/>
          <w:lang w:val="en-GB"/>
        </w:rPr>
        <w:t xml:space="preserve">, as Facebook transferred </w:t>
      </w:r>
      <w:r w:rsidR="00CB1930" w:rsidRPr="00BC434D">
        <w:rPr>
          <w:rFonts w:asciiTheme="majorBidi" w:hAnsiTheme="majorBidi" w:cstheme="majorBidi"/>
          <w:sz w:val="24"/>
          <w:szCs w:val="24"/>
          <w:lang w:val="en-GB"/>
        </w:rPr>
        <w:t>the account</w:t>
      </w:r>
      <w:r w:rsidRPr="00BC434D">
        <w:rPr>
          <w:rFonts w:asciiTheme="majorBidi" w:hAnsiTheme="majorBidi" w:cstheme="majorBidi"/>
          <w:sz w:val="24"/>
          <w:szCs w:val="24"/>
          <w:lang w:val="en-GB"/>
        </w:rPr>
        <w:t xml:space="preserve"> to a </w:t>
      </w:r>
      <w:r w:rsidR="008653F7" w:rsidRPr="00BC434D">
        <w:rPr>
          <w:rFonts w:asciiTheme="majorBidi" w:hAnsiTheme="majorBidi" w:cstheme="majorBidi"/>
          <w:sz w:val="24"/>
          <w:szCs w:val="24"/>
          <w:lang w:val="en-GB"/>
        </w:rPr>
        <w:t>memorialised</w:t>
      </w:r>
      <w:r w:rsidRPr="00BC434D">
        <w:rPr>
          <w:rFonts w:asciiTheme="majorBidi" w:hAnsiTheme="majorBidi" w:cstheme="majorBidi"/>
          <w:sz w:val="24"/>
          <w:szCs w:val="24"/>
          <w:lang w:val="en-GB"/>
        </w:rPr>
        <w:t xml:space="preserve"> status in accordance with the </w:t>
      </w:r>
      <w:r w:rsidR="00680E36" w:rsidRPr="00BC434D">
        <w:rPr>
          <w:rFonts w:asciiTheme="majorBidi" w:hAnsiTheme="majorBidi" w:cstheme="majorBidi"/>
          <w:sz w:val="24"/>
          <w:szCs w:val="24"/>
          <w:lang w:val="en-GB"/>
        </w:rPr>
        <w:t xml:space="preserve">internal </w:t>
      </w:r>
      <w:r w:rsidRPr="00BC434D">
        <w:rPr>
          <w:rFonts w:asciiTheme="majorBidi" w:hAnsiTheme="majorBidi" w:cstheme="majorBidi"/>
          <w:sz w:val="24"/>
          <w:szCs w:val="24"/>
          <w:lang w:val="en-GB"/>
        </w:rPr>
        <w:t xml:space="preserve">rules of Facebook and the </w:t>
      </w:r>
      <w:r w:rsidR="00680E36" w:rsidRPr="00BC434D">
        <w:rPr>
          <w:rFonts w:asciiTheme="majorBidi" w:hAnsiTheme="majorBidi" w:cstheme="majorBidi"/>
          <w:sz w:val="24"/>
          <w:szCs w:val="24"/>
          <w:lang w:val="en-GB"/>
        </w:rPr>
        <w:t>provisions</w:t>
      </w:r>
      <w:r w:rsidRPr="00BC434D">
        <w:rPr>
          <w:rFonts w:asciiTheme="majorBidi" w:hAnsiTheme="majorBidi" w:cstheme="majorBidi"/>
          <w:sz w:val="24"/>
          <w:szCs w:val="24"/>
          <w:lang w:val="en-GB"/>
        </w:rPr>
        <w:t xml:space="preserve"> of </w:t>
      </w:r>
      <w:r w:rsidR="001717DA"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Terms of service</w:t>
      </w:r>
      <w:r w:rsidR="001717DA"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 and on the deceased</w:t>
      </w:r>
      <w:r w:rsidR="00810E36">
        <w:rPr>
          <w:rFonts w:asciiTheme="majorBidi" w:hAnsiTheme="majorBidi" w:cstheme="majorBidi"/>
          <w:sz w:val="24"/>
          <w:szCs w:val="24"/>
          <w:lang w:val="en-GB"/>
        </w:rPr>
        <w:t>’</w:t>
      </w:r>
      <w:r w:rsidRPr="00BC434D">
        <w:rPr>
          <w:rFonts w:asciiTheme="majorBidi" w:hAnsiTheme="majorBidi" w:cstheme="majorBidi"/>
          <w:sz w:val="24"/>
          <w:szCs w:val="24"/>
          <w:lang w:val="en-GB"/>
        </w:rPr>
        <w:t>s mother</w:t>
      </w:r>
      <w:r w:rsidR="00810E36">
        <w:rPr>
          <w:rFonts w:asciiTheme="majorBidi" w:hAnsiTheme="majorBidi" w:cstheme="majorBidi"/>
          <w:sz w:val="24"/>
          <w:szCs w:val="24"/>
          <w:lang w:val="en-GB"/>
        </w:rPr>
        <w:t>’</w:t>
      </w:r>
      <w:r w:rsidRPr="00BC434D">
        <w:rPr>
          <w:rFonts w:asciiTheme="majorBidi" w:hAnsiTheme="majorBidi" w:cstheme="majorBidi"/>
          <w:sz w:val="24"/>
          <w:szCs w:val="24"/>
          <w:lang w:val="en-GB"/>
        </w:rPr>
        <w:t>s request for access was refused</w:t>
      </w:r>
      <w:r w:rsidR="004D011A" w:rsidRPr="00BC434D">
        <w:rPr>
          <w:rFonts w:asciiTheme="majorBidi" w:hAnsiTheme="majorBidi" w:cstheme="majorBidi"/>
          <w:sz w:val="24"/>
          <w:szCs w:val="24"/>
          <w:lang w:val="en-GB"/>
        </w:rPr>
        <w:t xml:space="preserve"> with referenc</w:t>
      </w:r>
      <w:r w:rsidR="00EB165F" w:rsidRPr="00BC434D">
        <w:rPr>
          <w:rFonts w:asciiTheme="majorBidi" w:hAnsiTheme="majorBidi" w:cstheme="majorBidi"/>
          <w:sz w:val="24"/>
          <w:szCs w:val="24"/>
          <w:lang w:val="en-GB"/>
        </w:rPr>
        <w:t xml:space="preserve">e to internal </w:t>
      </w:r>
      <w:r w:rsidRPr="00BC434D">
        <w:rPr>
          <w:rFonts w:asciiTheme="majorBidi" w:hAnsiTheme="majorBidi" w:cstheme="majorBidi"/>
          <w:sz w:val="24"/>
          <w:szCs w:val="24"/>
          <w:lang w:val="en-GB"/>
        </w:rPr>
        <w:t>rules and principles</w:t>
      </w:r>
      <w:r w:rsidR="00EB165F" w:rsidRPr="00BC434D">
        <w:rPr>
          <w:rFonts w:asciiTheme="majorBidi" w:hAnsiTheme="majorBidi" w:cstheme="majorBidi"/>
          <w:sz w:val="24"/>
          <w:szCs w:val="24"/>
          <w:lang w:val="en-GB"/>
        </w:rPr>
        <w:t xml:space="preserve"> of Facebook. </w:t>
      </w:r>
      <w:r w:rsidR="00CA08EE" w:rsidRPr="00BC434D">
        <w:rPr>
          <w:rStyle w:val="FootnoteReference"/>
          <w:rFonts w:asciiTheme="majorBidi" w:hAnsiTheme="majorBidi" w:cstheme="majorBidi"/>
          <w:sz w:val="24"/>
          <w:szCs w:val="24"/>
          <w:lang w:val="en-GB"/>
        </w:rPr>
        <w:footnoteReference w:id="18"/>
      </w:r>
    </w:p>
    <w:p w14:paraId="476D00CE" w14:textId="2567FAD6" w:rsidR="00A91719" w:rsidRPr="00BC434D" w:rsidRDefault="00474A2C"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 xml:space="preserve">As part of its arguments in the first instance of the court, Facebook </w:t>
      </w:r>
      <w:r w:rsidR="00EB165F" w:rsidRPr="00BC434D">
        <w:rPr>
          <w:rFonts w:asciiTheme="majorBidi" w:hAnsiTheme="majorBidi" w:cstheme="majorBidi"/>
          <w:sz w:val="24"/>
          <w:szCs w:val="24"/>
          <w:lang w:val="en-GB"/>
        </w:rPr>
        <w:t>claimed</w:t>
      </w:r>
      <w:r w:rsidRPr="00BC434D">
        <w:rPr>
          <w:rFonts w:asciiTheme="majorBidi" w:hAnsiTheme="majorBidi" w:cstheme="majorBidi"/>
          <w:sz w:val="24"/>
          <w:szCs w:val="24"/>
          <w:lang w:val="en-GB"/>
        </w:rPr>
        <w:t xml:space="preserve"> the non-transferability clause in the service contract between the provider and the original owner of the account</w:t>
      </w:r>
      <w:r w:rsidR="00EB165F" w:rsidRPr="00BC434D">
        <w:rPr>
          <w:rFonts w:asciiTheme="majorBidi" w:hAnsiTheme="majorBidi" w:cstheme="majorBidi"/>
          <w:sz w:val="24"/>
          <w:szCs w:val="24"/>
          <w:lang w:val="en-GB"/>
        </w:rPr>
        <w:t xml:space="preserve"> prevents the </w:t>
      </w:r>
      <w:r w:rsidR="00713112" w:rsidRPr="00BC434D">
        <w:rPr>
          <w:rFonts w:asciiTheme="majorBidi" w:hAnsiTheme="majorBidi" w:cstheme="majorBidi"/>
          <w:sz w:val="24"/>
          <w:szCs w:val="24"/>
          <w:lang w:val="en-GB"/>
        </w:rPr>
        <w:t xml:space="preserve">heirs from succeeding and accessing the account. </w:t>
      </w:r>
      <w:r w:rsidRPr="00BC434D">
        <w:rPr>
          <w:rFonts w:asciiTheme="majorBidi" w:hAnsiTheme="majorBidi" w:cstheme="majorBidi"/>
          <w:sz w:val="24"/>
          <w:szCs w:val="24"/>
          <w:lang w:val="en-GB"/>
        </w:rPr>
        <w:t xml:space="preserve">The court, instead, declared that this contractual provision has no effect and cannot prevent the inheritance of a service contract, which is the same property as any other. The Berlin Regional Court noted that one of the reasons for the invalidity of the </w:t>
      </w:r>
      <w:r w:rsidR="008653F7" w:rsidRPr="00BC434D">
        <w:rPr>
          <w:rFonts w:asciiTheme="majorBidi" w:hAnsiTheme="majorBidi" w:cstheme="majorBidi"/>
          <w:sz w:val="24"/>
          <w:szCs w:val="24"/>
          <w:lang w:val="en-GB"/>
        </w:rPr>
        <w:t>memorialisation</w:t>
      </w:r>
      <w:r w:rsidRPr="00BC434D">
        <w:rPr>
          <w:rFonts w:asciiTheme="majorBidi" w:hAnsiTheme="majorBidi" w:cstheme="majorBidi"/>
          <w:sz w:val="24"/>
          <w:szCs w:val="24"/>
          <w:lang w:val="en-GB"/>
        </w:rPr>
        <w:t xml:space="preserve"> and non-transferability clause is the disproportionate and unreasonable disadvantage to the heirs that these regulations </w:t>
      </w:r>
      <w:r w:rsidR="00024328" w:rsidRPr="00BC434D">
        <w:rPr>
          <w:rFonts w:asciiTheme="majorBidi" w:hAnsiTheme="majorBidi" w:cstheme="majorBidi"/>
          <w:sz w:val="24"/>
          <w:szCs w:val="24"/>
          <w:lang w:val="en-GB"/>
        </w:rPr>
        <w:t>cause</w:t>
      </w:r>
      <w:r w:rsidRPr="00BC434D">
        <w:rPr>
          <w:rFonts w:asciiTheme="majorBidi" w:hAnsiTheme="majorBidi" w:cstheme="majorBidi"/>
          <w:sz w:val="24"/>
          <w:szCs w:val="24"/>
          <w:lang w:val="en-GB"/>
        </w:rPr>
        <w:t>.</w:t>
      </w:r>
    </w:p>
    <w:p w14:paraId="33876270" w14:textId="46376875" w:rsidR="00024328" w:rsidRPr="00BC434D" w:rsidRDefault="00024328"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The Berlin Court of Appeal</w:t>
      </w:r>
      <w:r w:rsidR="008D74BF" w:rsidRPr="00BC434D">
        <w:rPr>
          <w:rFonts w:asciiTheme="majorBidi" w:hAnsiTheme="majorBidi" w:cstheme="majorBidi"/>
          <w:sz w:val="24"/>
          <w:szCs w:val="24"/>
          <w:lang w:val="en-GB"/>
        </w:rPr>
        <w:t xml:space="preserve"> </w:t>
      </w:r>
      <w:r w:rsidRPr="00BC434D">
        <w:rPr>
          <w:rFonts w:asciiTheme="majorBidi" w:hAnsiTheme="majorBidi" w:cstheme="majorBidi"/>
          <w:sz w:val="24"/>
          <w:szCs w:val="24"/>
          <w:lang w:val="en-GB"/>
        </w:rPr>
        <w:t>denied the</w:t>
      </w:r>
      <w:r w:rsidR="008D4099" w:rsidRPr="00BC434D">
        <w:rPr>
          <w:rFonts w:asciiTheme="majorBidi" w:hAnsiTheme="majorBidi" w:cstheme="majorBidi"/>
          <w:sz w:val="24"/>
          <w:szCs w:val="24"/>
          <w:lang w:val="en-GB"/>
        </w:rPr>
        <w:t xml:space="preserve"> existence of the</w:t>
      </w:r>
      <w:r w:rsidRPr="00BC434D">
        <w:rPr>
          <w:rFonts w:asciiTheme="majorBidi" w:hAnsiTheme="majorBidi" w:cstheme="majorBidi"/>
          <w:sz w:val="24"/>
          <w:szCs w:val="24"/>
          <w:lang w:val="en-GB"/>
        </w:rPr>
        <w:t xml:space="preserve"> </w:t>
      </w:r>
      <w:r w:rsidR="008D4099" w:rsidRPr="00BC434D">
        <w:rPr>
          <w:rFonts w:asciiTheme="majorBidi" w:hAnsiTheme="majorBidi" w:cstheme="majorBidi"/>
          <w:sz w:val="24"/>
          <w:szCs w:val="24"/>
          <w:lang w:val="en-GB"/>
        </w:rPr>
        <w:t xml:space="preserve">successor’s </w:t>
      </w:r>
      <w:r w:rsidRPr="00BC434D">
        <w:rPr>
          <w:rFonts w:asciiTheme="majorBidi" w:hAnsiTheme="majorBidi" w:cstheme="majorBidi"/>
          <w:sz w:val="24"/>
          <w:szCs w:val="24"/>
          <w:lang w:val="en-GB"/>
        </w:rPr>
        <w:t xml:space="preserve">right to access </w:t>
      </w:r>
      <w:r w:rsidR="008D4099" w:rsidRPr="00BC434D">
        <w:rPr>
          <w:rFonts w:asciiTheme="majorBidi" w:hAnsiTheme="majorBidi" w:cstheme="majorBidi"/>
          <w:sz w:val="24"/>
          <w:szCs w:val="24"/>
          <w:lang w:val="en-GB"/>
        </w:rPr>
        <w:t>of account</w:t>
      </w:r>
      <w:r w:rsidRPr="00BC434D">
        <w:rPr>
          <w:rFonts w:asciiTheme="majorBidi" w:hAnsiTheme="majorBidi" w:cstheme="majorBidi"/>
          <w:sz w:val="24"/>
          <w:szCs w:val="24"/>
          <w:lang w:val="en-GB"/>
        </w:rPr>
        <w:t xml:space="preserve"> on the basis of the secrecy of telecommunications designed to protect the communications of the legal predecessor of the account and their communication partners.</w:t>
      </w:r>
    </w:p>
    <w:p w14:paraId="6BD830D6" w14:textId="3A0132E2" w:rsidR="00024328" w:rsidRPr="00BC434D" w:rsidRDefault="00024328"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 xml:space="preserve">In turn, the Federal Supreme Court returned the decision of the court of </w:t>
      </w:r>
      <w:r w:rsidR="004D18AF" w:rsidRPr="00BC434D">
        <w:rPr>
          <w:rFonts w:asciiTheme="majorBidi" w:hAnsiTheme="majorBidi" w:cstheme="majorBidi"/>
          <w:sz w:val="24"/>
          <w:szCs w:val="24"/>
          <w:lang w:val="en-GB"/>
        </w:rPr>
        <w:t xml:space="preserve">the </w:t>
      </w:r>
      <w:r w:rsidRPr="00BC434D">
        <w:rPr>
          <w:rFonts w:asciiTheme="majorBidi" w:hAnsiTheme="majorBidi" w:cstheme="majorBidi"/>
          <w:sz w:val="24"/>
          <w:szCs w:val="24"/>
          <w:lang w:val="en-GB"/>
        </w:rPr>
        <w:t xml:space="preserve">first instance, </w:t>
      </w:r>
      <w:r w:rsidR="003B4884" w:rsidRPr="00BC434D">
        <w:rPr>
          <w:rFonts w:asciiTheme="majorBidi" w:hAnsiTheme="majorBidi" w:cstheme="majorBidi"/>
          <w:sz w:val="24"/>
          <w:szCs w:val="24"/>
          <w:lang w:val="en-GB"/>
        </w:rPr>
        <w:t>emphasising</w:t>
      </w:r>
      <w:r w:rsidRPr="00BC434D">
        <w:rPr>
          <w:rFonts w:asciiTheme="majorBidi" w:hAnsiTheme="majorBidi" w:cstheme="majorBidi"/>
          <w:sz w:val="24"/>
          <w:szCs w:val="24"/>
          <w:lang w:val="en-GB"/>
        </w:rPr>
        <w:t xml:space="preserve"> the priority of the principle of universal inheritance over contractual provisions. Also,</w:t>
      </w:r>
      <w:r w:rsidR="000A4E7C" w:rsidRPr="00BC434D">
        <w:rPr>
          <w:rFonts w:asciiTheme="majorBidi" w:hAnsiTheme="majorBidi" w:cstheme="majorBidi"/>
          <w:sz w:val="24"/>
          <w:szCs w:val="24"/>
          <w:lang w:val="en-GB"/>
        </w:rPr>
        <w:t xml:space="preserve"> an</w:t>
      </w:r>
      <w:r w:rsidRPr="00BC434D">
        <w:rPr>
          <w:rFonts w:asciiTheme="majorBidi" w:hAnsiTheme="majorBidi" w:cstheme="majorBidi"/>
          <w:sz w:val="24"/>
          <w:szCs w:val="24"/>
          <w:lang w:val="en-GB"/>
        </w:rPr>
        <w:t xml:space="preserve"> </w:t>
      </w:r>
      <w:r w:rsidR="003B4884" w:rsidRPr="00BC434D">
        <w:rPr>
          <w:rFonts w:asciiTheme="majorBidi" w:hAnsiTheme="majorBidi" w:cstheme="majorBidi"/>
          <w:sz w:val="24"/>
          <w:szCs w:val="24"/>
          <w:lang w:val="en-GB"/>
        </w:rPr>
        <w:t>essential</w:t>
      </w:r>
      <w:r w:rsidRPr="00BC434D">
        <w:rPr>
          <w:rFonts w:asciiTheme="majorBidi" w:hAnsiTheme="majorBidi" w:cstheme="majorBidi"/>
          <w:sz w:val="24"/>
          <w:szCs w:val="24"/>
          <w:lang w:val="en-GB"/>
        </w:rPr>
        <w:t xml:space="preserve"> and fundamental</w:t>
      </w:r>
      <w:r w:rsidR="000A4E7C" w:rsidRPr="00BC434D">
        <w:rPr>
          <w:rFonts w:asciiTheme="majorBidi" w:hAnsiTheme="majorBidi" w:cstheme="majorBidi"/>
          <w:sz w:val="24"/>
          <w:szCs w:val="24"/>
          <w:lang w:val="en-GB"/>
        </w:rPr>
        <w:t xml:space="preserve"> </w:t>
      </w:r>
      <w:r w:rsidRPr="00BC434D">
        <w:rPr>
          <w:rFonts w:asciiTheme="majorBidi" w:hAnsiTheme="majorBidi" w:cstheme="majorBidi"/>
          <w:sz w:val="24"/>
          <w:szCs w:val="24"/>
          <w:lang w:val="en-GB"/>
        </w:rPr>
        <w:t>explanation of the rules of inheritance of digital assets</w:t>
      </w:r>
      <w:r w:rsidR="000A4E7C" w:rsidRPr="00BC434D">
        <w:rPr>
          <w:rFonts w:asciiTheme="majorBidi" w:hAnsiTheme="majorBidi" w:cstheme="majorBidi"/>
          <w:sz w:val="24"/>
          <w:szCs w:val="24"/>
          <w:lang w:val="en-GB"/>
        </w:rPr>
        <w:t xml:space="preserve"> was </w:t>
      </w:r>
      <w:r w:rsidR="008D74BF" w:rsidRPr="00BC434D">
        <w:rPr>
          <w:rFonts w:asciiTheme="majorBidi" w:hAnsiTheme="majorBidi" w:cstheme="majorBidi"/>
          <w:sz w:val="24"/>
          <w:szCs w:val="24"/>
          <w:lang w:val="en-GB"/>
        </w:rPr>
        <w:t>made</w:t>
      </w:r>
      <w:r w:rsidRPr="00BC434D">
        <w:rPr>
          <w:rFonts w:asciiTheme="majorBidi" w:hAnsiTheme="majorBidi" w:cstheme="majorBidi"/>
          <w:sz w:val="24"/>
          <w:szCs w:val="24"/>
          <w:lang w:val="en-GB"/>
        </w:rPr>
        <w:t xml:space="preserve">: according to the </w:t>
      </w:r>
      <w:r w:rsidR="008D74BF" w:rsidRPr="00BC434D">
        <w:rPr>
          <w:rFonts w:asciiTheme="majorBidi" w:hAnsiTheme="majorBidi" w:cstheme="majorBidi"/>
          <w:sz w:val="24"/>
          <w:szCs w:val="24"/>
          <w:lang w:val="en-GB"/>
        </w:rPr>
        <w:t>C</w:t>
      </w:r>
      <w:r w:rsidRPr="00BC434D">
        <w:rPr>
          <w:rFonts w:asciiTheme="majorBidi" w:hAnsiTheme="majorBidi" w:cstheme="majorBidi"/>
          <w:sz w:val="24"/>
          <w:szCs w:val="24"/>
          <w:lang w:val="en-GB"/>
        </w:rPr>
        <w:t xml:space="preserve">ourt, </w:t>
      </w:r>
      <w:r w:rsidR="00A47A62" w:rsidRPr="00BC434D">
        <w:rPr>
          <w:rFonts w:asciiTheme="majorBidi" w:hAnsiTheme="majorBidi" w:cstheme="majorBidi"/>
          <w:sz w:val="24"/>
          <w:szCs w:val="24"/>
          <w:lang w:val="en-GB"/>
        </w:rPr>
        <w:t>digital assets</w:t>
      </w:r>
      <w:r w:rsidRPr="00BC434D">
        <w:rPr>
          <w:rFonts w:asciiTheme="majorBidi" w:hAnsiTheme="majorBidi" w:cstheme="majorBidi"/>
          <w:sz w:val="24"/>
          <w:szCs w:val="24"/>
          <w:lang w:val="en-GB"/>
        </w:rPr>
        <w:t xml:space="preserve"> should be equated with physical ones and be inherited accordingly, that is, identically based on this equivalence. </w:t>
      </w:r>
      <w:r w:rsidR="007B61E5" w:rsidRPr="00BC434D">
        <w:rPr>
          <w:rFonts w:asciiTheme="majorBidi" w:hAnsiTheme="majorBidi" w:cstheme="majorBidi"/>
          <w:sz w:val="24"/>
          <w:szCs w:val="24"/>
          <w:lang w:val="en-GB"/>
        </w:rPr>
        <w:t>T</w:t>
      </w:r>
      <w:r w:rsidRPr="00BC434D">
        <w:rPr>
          <w:rFonts w:asciiTheme="majorBidi" w:hAnsiTheme="majorBidi" w:cstheme="majorBidi"/>
          <w:sz w:val="24"/>
          <w:szCs w:val="24"/>
          <w:lang w:val="en-GB"/>
        </w:rPr>
        <w:t xml:space="preserve">he secrecy of telecommunications, which Facebook put forward as an argument for denying access to the account, would not be valid if it was a paper </w:t>
      </w:r>
      <w:r w:rsidR="007B61E5" w:rsidRPr="00BC434D">
        <w:rPr>
          <w:rFonts w:asciiTheme="majorBidi" w:hAnsiTheme="majorBidi" w:cstheme="majorBidi"/>
          <w:sz w:val="24"/>
          <w:szCs w:val="24"/>
          <w:lang w:val="en-GB"/>
        </w:rPr>
        <w:t xml:space="preserve">letter </w:t>
      </w:r>
      <w:r w:rsidRPr="00BC434D">
        <w:rPr>
          <w:rFonts w:asciiTheme="majorBidi" w:hAnsiTheme="majorBidi" w:cstheme="majorBidi"/>
          <w:sz w:val="24"/>
          <w:szCs w:val="24"/>
          <w:lang w:val="en-GB"/>
        </w:rPr>
        <w:t xml:space="preserve">communication </w:t>
      </w:r>
      <w:r w:rsidR="007B61E5"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 </w:t>
      </w:r>
      <w:r w:rsidR="007B61E5" w:rsidRPr="00BC434D">
        <w:rPr>
          <w:rFonts w:asciiTheme="majorBidi" w:hAnsiTheme="majorBidi" w:cstheme="majorBidi"/>
          <w:sz w:val="24"/>
          <w:szCs w:val="24"/>
          <w:lang w:val="en-GB"/>
        </w:rPr>
        <w:t>thus</w:t>
      </w:r>
      <w:r w:rsidR="00DF03C7" w:rsidRPr="00BC434D">
        <w:rPr>
          <w:rFonts w:asciiTheme="majorBidi" w:hAnsiTheme="majorBidi" w:cstheme="majorBidi"/>
          <w:sz w:val="24"/>
          <w:szCs w:val="24"/>
          <w:lang w:val="en-GB"/>
        </w:rPr>
        <w:t>,</w:t>
      </w:r>
      <w:r w:rsidR="007B61E5" w:rsidRPr="00BC434D">
        <w:rPr>
          <w:rFonts w:asciiTheme="majorBidi" w:hAnsiTheme="majorBidi" w:cstheme="majorBidi"/>
          <w:sz w:val="24"/>
          <w:szCs w:val="24"/>
          <w:lang w:val="en-GB"/>
        </w:rPr>
        <w:t xml:space="preserve"> messages </w:t>
      </w:r>
      <w:r w:rsidR="00AF181D" w:rsidRPr="00BC434D">
        <w:rPr>
          <w:rFonts w:asciiTheme="majorBidi" w:hAnsiTheme="majorBidi" w:cstheme="majorBidi"/>
          <w:sz w:val="24"/>
          <w:szCs w:val="24"/>
          <w:lang w:val="en-GB"/>
        </w:rPr>
        <w:t>should be inheritable as well.</w:t>
      </w:r>
    </w:p>
    <w:p w14:paraId="2957E806" w14:textId="7C891419" w:rsidR="000254C0" w:rsidRPr="00BC434D" w:rsidRDefault="00024328"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This argument quite</w:t>
      </w:r>
      <w:r w:rsidR="00883174" w:rsidRPr="00BC434D">
        <w:rPr>
          <w:rFonts w:asciiTheme="majorBidi" w:hAnsiTheme="majorBidi" w:cstheme="majorBidi"/>
          <w:sz w:val="24"/>
          <w:szCs w:val="24"/>
          <w:lang w:val="en-GB"/>
        </w:rPr>
        <w:t xml:space="preserve"> reasonably</w:t>
      </w:r>
      <w:r w:rsidRPr="00BC434D">
        <w:rPr>
          <w:rFonts w:asciiTheme="majorBidi" w:hAnsiTheme="majorBidi" w:cstheme="majorBidi"/>
          <w:sz w:val="24"/>
          <w:szCs w:val="24"/>
          <w:lang w:val="en-GB"/>
        </w:rPr>
        <w:t xml:space="preserve"> raises doubts in the context of the interpretation of the protection of the data of these third parties in the context of the GDPR: at the same time, as the court notes, the right of access to this data of their testator should be extended to the heirs within the framework of Art. 6 GDPR 1 (b), as they are now effectively the beneficiaries and party to the agreement that is the basis of this basis for processing.</w:t>
      </w:r>
      <w:r w:rsidR="00C558CD" w:rsidRPr="00BC434D">
        <w:rPr>
          <w:rStyle w:val="FootnoteReference"/>
          <w:rFonts w:asciiTheme="majorBidi" w:hAnsiTheme="majorBidi" w:cstheme="majorBidi"/>
          <w:sz w:val="24"/>
          <w:szCs w:val="24"/>
          <w:lang w:val="en-GB"/>
        </w:rPr>
        <w:footnoteReference w:id="19"/>
      </w:r>
    </w:p>
    <w:p w14:paraId="60C4BAA3" w14:textId="242842A1" w:rsidR="00CE64C8" w:rsidRPr="00BC434D" w:rsidRDefault="00CE64C8"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lastRenderedPageBreak/>
        <w:t xml:space="preserve">Despite the </w:t>
      </w:r>
      <w:r w:rsidR="00951726" w:rsidRPr="00BC434D">
        <w:rPr>
          <w:rFonts w:asciiTheme="majorBidi" w:hAnsiTheme="majorBidi" w:cstheme="majorBidi"/>
          <w:sz w:val="24"/>
          <w:szCs w:val="24"/>
          <w:lang w:val="en-GB"/>
        </w:rPr>
        <w:t>apparent</w:t>
      </w:r>
      <w:r w:rsidRPr="00BC434D">
        <w:rPr>
          <w:rFonts w:asciiTheme="majorBidi" w:hAnsiTheme="majorBidi" w:cstheme="majorBidi"/>
          <w:sz w:val="24"/>
          <w:szCs w:val="24"/>
          <w:lang w:val="en-GB"/>
        </w:rPr>
        <w:t xml:space="preserve"> </w:t>
      </w:r>
      <w:r w:rsidR="00603474" w:rsidRPr="00BC434D">
        <w:rPr>
          <w:rFonts w:asciiTheme="majorBidi" w:hAnsiTheme="majorBidi" w:cstheme="majorBidi"/>
          <w:sz w:val="24"/>
          <w:szCs w:val="24"/>
          <w:lang w:val="en-GB"/>
        </w:rPr>
        <w:t xml:space="preserve">inheritance </w:t>
      </w:r>
      <w:r w:rsidR="00657BA6" w:rsidRPr="00BC434D">
        <w:rPr>
          <w:rFonts w:asciiTheme="majorBidi" w:hAnsiTheme="majorBidi" w:cstheme="majorBidi"/>
          <w:sz w:val="24"/>
          <w:szCs w:val="24"/>
          <w:lang w:val="en-GB"/>
        </w:rPr>
        <w:t>rights-centred</w:t>
      </w:r>
      <w:r w:rsidRPr="00BC434D">
        <w:rPr>
          <w:rFonts w:asciiTheme="majorBidi" w:hAnsiTheme="majorBidi" w:cstheme="majorBidi"/>
          <w:sz w:val="24"/>
          <w:szCs w:val="24"/>
          <w:lang w:val="en-GB"/>
        </w:rPr>
        <w:t xml:space="preserve"> position regarding access to account data and, accordingly, posthumous privacy, which is actually excluded, since the consent given by the legal predecessor to </w:t>
      </w:r>
      <w:r w:rsidR="00951726" w:rsidRPr="00BC434D">
        <w:rPr>
          <w:rFonts w:asciiTheme="majorBidi" w:hAnsiTheme="majorBidi" w:cstheme="majorBidi"/>
          <w:sz w:val="24"/>
          <w:szCs w:val="24"/>
          <w:lang w:val="en-GB"/>
        </w:rPr>
        <w:t>memorialisation</w:t>
      </w:r>
      <w:r w:rsidRPr="00BC434D">
        <w:rPr>
          <w:rFonts w:asciiTheme="majorBidi" w:hAnsiTheme="majorBidi" w:cstheme="majorBidi"/>
          <w:sz w:val="24"/>
          <w:szCs w:val="24"/>
          <w:lang w:val="en-GB"/>
        </w:rPr>
        <w:t xml:space="preserve"> was not considered even potentially as an expression of will</w:t>
      </w:r>
      <w:r w:rsidR="00434564" w:rsidRPr="00BC434D">
        <w:rPr>
          <w:rStyle w:val="FootnoteReference"/>
          <w:rFonts w:asciiTheme="majorBidi" w:hAnsiTheme="majorBidi" w:cstheme="majorBidi"/>
          <w:sz w:val="24"/>
          <w:szCs w:val="24"/>
          <w:lang w:val="en-GB"/>
        </w:rPr>
        <w:footnoteReference w:id="20"/>
      </w:r>
      <w:r w:rsidRPr="00BC434D">
        <w:rPr>
          <w:rFonts w:asciiTheme="majorBidi" w:hAnsiTheme="majorBidi" w:cstheme="majorBidi"/>
          <w:sz w:val="24"/>
          <w:szCs w:val="24"/>
          <w:lang w:val="en-GB"/>
        </w:rPr>
        <w:t xml:space="preserve">, it is worth noting that, nevertheless, probably, not all factors posthumous personal rights are </w:t>
      </w:r>
      <w:r w:rsidR="00951726" w:rsidRPr="00BC434D">
        <w:rPr>
          <w:rFonts w:asciiTheme="majorBidi" w:hAnsiTheme="majorBidi" w:cstheme="majorBidi"/>
          <w:sz w:val="24"/>
          <w:szCs w:val="24"/>
          <w:lang w:val="en-GB"/>
        </w:rPr>
        <w:t>entirely</w:t>
      </w:r>
      <w:r w:rsidRPr="00BC434D">
        <w:rPr>
          <w:rFonts w:asciiTheme="majorBidi" w:hAnsiTheme="majorBidi" w:cstheme="majorBidi"/>
          <w:sz w:val="24"/>
          <w:szCs w:val="24"/>
          <w:lang w:val="en-GB"/>
        </w:rPr>
        <w:t xml:space="preserve"> rejected by the German </w:t>
      </w:r>
      <w:r w:rsidR="00603474" w:rsidRPr="00BC434D">
        <w:rPr>
          <w:rFonts w:asciiTheme="majorBidi" w:hAnsiTheme="majorBidi" w:cstheme="majorBidi"/>
          <w:sz w:val="24"/>
          <w:szCs w:val="24"/>
          <w:lang w:val="en-GB"/>
        </w:rPr>
        <w:t>legislation</w:t>
      </w:r>
      <w:r w:rsidRPr="00BC434D">
        <w:rPr>
          <w:rFonts w:asciiTheme="majorBidi" w:hAnsiTheme="majorBidi" w:cstheme="majorBidi"/>
          <w:sz w:val="24"/>
          <w:szCs w:val="24"/>
          <w:lang w:val="en-GB"/>
        </w:rPr>
        <w:t>. A strong argument in support of this is the advisory ban on granting heirs the right to actively use the page</w:t>
      </w:r>
      <w:r w:rsidR="0070343C" w:rsidRPr="00BC434D">
        <w:rPr>
          <w:rStyle w:val="FootnoteReference"/>
          <w:rFonts w:asciiTheme="majorBidi" w:hAnsiTheme="majorBidi" w:cstheme="majorBidi"/>
          <w:sz w:val="24"/>
          <w:szCs w:val="24"/>
          <w:lang w:val="en-GB"/>
        </w:rPr>
        <w:footnoteReference w:id="21"/>
      </w:r>
      <w:r w:rsidRPr="00BC434D">
        <w:rPr>
          <w:rFonts w:asciiTheme="majorBidi" w:hAnsiTheme="majorBidi" w:cstheme="majorBidi"/>
          <w:sz w:val="24"/>
          <w:szCs w:val="24"/>
          <w:lang w:val="en-GB"/>
        </w:rPr>
        <w:t xml:space="preserve">: that is, despite the order to provide access to all information from the account and the actual transfer of the account with all rights to it to the hands of the heirs in accordance with the law of universal </w:t>
      </w:r>
      <w:r w:rsidR="00212C05" w:rsidRPr="00BC434D">
        <w:rPr>
          <w:rFonts w:asciiTheme="majorBidi" w:hAnsiTheme="majorBidi" w:cstheme="majorBidi"/>
          <w:sz w:val="24"/>
          <w:szCs w:val="24"/>
          <w:lang w:val="en-GB"/>
        </w:rPr>
        <w:t>succession</w:t>
      </w:r>
      <w:r w:rsidRPr="00BC434D">
        <w:rPr>
          <w:rFonts w:asciiTheme="majorBidi" w:hAnsiTheme="majorBidi" w:cstheme="majorBidi"/>
          <w:sz w:val="24"/>
          <w:szCs w:val="24"/>
          <w:lang w:val="en-GB"/>
        </w:rPr>
        <w:t>, the court considers it appropriate to limit the right</w:t>
      </w:r>
      <w:r w:rsidR="00E4200D" w:rsidRPr="00BC434D">
        <w:rPr>
          <w:rFonts w:asciiTheme="majorBidi" w:hAnsiTheme="majorBidi" w:cstheme="majorBidi"/>
          <w:sz w:val="24"/>
          <w:szCs w:val="24"/>
          <w:lang w:val="en-GB"/>
        </w:rPr>
        <w:t xml:space="preserve"> of</w:t>
      </w:r>
      <w:r w:rsidRPr="00BC434D">
        <w:rPr>
          <w:rFonts w:asciiTheme="majorBidi" w:hAnsiTheme="majorBidi" w:cstheme="majorBidi"/>
          <w:sz w:val="24"/>
          <w:szCs w:val="24"/>
          <w:lang w:val="en-GB"/>
        </w:rPr>
        <w:t xml:space="preserve"> use such function</w:t>
      </w:r>
      <w:r w:rsidR="005F44E2" w:rsidRPr="00BC434D">
        <w:rPr>
          <w:rFonts w:asciiTheme="majorBidi" w:hAnsiTheme="majorBidi" w:cstheme="majorBidi"/>
          <w:sz w:val="24"/>
          <w:szCs w:val="24"/>
          <w:lang w:val="en-GB"/>
        </w:rPr>
        <w:t>s</w:t>
      </w:r>
      <w:r w:rsidRPr="00BC434D">
        <w:rPr>
          <w:rFonts w:asciiTheme="majorBidi" w:hAnsiTheme="majorBidi" w:cstheme="majorBidi"/>
          <w:sz w:val="24"/>
          <w:szCs w:val="24"/>
          <w:lang w:val="en-GB"/>
        </w:rPr>
        <w:t xml:space="preserve"> as sending messages from the face of the deceased or editing the account.</w:t>
      </w:r>
    </w:p>
    <w:p w14:paraId="456ADC4D" w14:textId="17029E9F" w:rsidR="0056667C" w:rsidRPr="00BC434D" w:rsidRDefault="000852E8"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Mikk and Sein</w:t>
      </w:r>
      <w:r w:rsidR="004B2694"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 </w:t>
      </w:r>
      <w:r w:rsidR="005F44E2" w:rsidRPr="00BC434D">
        <w:rPr>
          <w:rFonts w:asciiTheme="majorBidi" w:hAnsiTheme="majorBidi" w:cstheme="majorBidi"/>
          <w:sz w:val="24"/>
          <w:szCs w:val="24"/>
          <w:lang w:val="en-GB"/>
        </w:rPr>
        <w:t>concluded</w:t>
      </w:r>
      <w:r w:rsidRPr="00BC434D">
        <w:rPr>
          <w:rFonts w:asciiTheme="majorBidi" w:hAnsiTheme="majorBidi" w:cstheme="majorBidi"/>
          <w:sz w:val="24"/>
          <w:szCs w:val="24"/>
          <w:lang w:val="en-GB"/>
        </w:rPr>
        <w:t xml:space="preserve"> that such a prohibition may be related to an exception to the</w:t>
      </w:r>
      <w:r w:rsidR="00B752F9" w:rsidRPr="00BC434D">
        <w:rPr>
          <w:rFonts w:asciiTheme="majorBidi" w:hAnsiTheme="majorBidi" w:cstheme="majorBidi"/>
          <w:sz w:val="24"/>
          <w:szCs w:val="24"/>
          <w:lang w:val="en-GB"/>
        </w:rPr>
        <w:t xml:space="preserve"> principle of universal succession</w:t>
      </w:r>
      <w:r w:rsidRPr="00BC434D">
        <w:rPr>
          <w:rFonts w:asciiTheme="majorBidi" w:hAnsiTheme="majorBidi" w:cstheme="majorBidi"/>
          <w:sz w:val="24"/>
          <w:szCs w:val="24"/>
          <w:lang w:val="en-GB"/>
        </w:rPr>
        <w:t>, which excludes rights and obligations of a personal nature, that is, those that are inextricably linked and directly depend on the personality of the owner</w:t>
      </w:r>
      <w:r w:rsidR="00B752F9" w:rsidRPr="00BC434D">
        <w:rPr>
          <w:rFonts w:asciiTheme="majorBidi" w:hAnsiTheme="majorBidi" w:cstheme="majorBidi"/>
          <w:sz w:val="24"/>
          <w:szCs w:val="24"/>
          <w:lang w:val="en-GB"/>
        </w:rPr>
        <w:t xml:space="preserve"> from the list of </w:t>
      </w:r>
      <w:r w:rsidR="001717DA" w:rsidRPr="00BC434D">
        <w:rPr>
          <w:rFonts w:asciiTheme="majorBidi" w:hAnsiTheme="majorBidi" w:cstheme="majorBidi"/>
          <w:sz w:val="24"/>
          <w:szCs w:val="24"/>
          <w:lang w:val="en-GB"/>
        </w:rPr>
        <w:t>“</w:t>
      </w:r>
      <w:r w:rsidR="00B752F9" w:rsidRPr="00BC434D">
        <w:rPr>
          <w:rFonts w:asciiTheme="majorBidi" w:hAnsiTheme="majorBidi" w:cstheme="majorBidi"/>
          <w:sz w:val="24"/>
          <w:szCs w:val="24"/>
          <w:lang w:val="en-GB"/>
        </w:rPr>
        <w:t>universal inheritance</w:t>
      </w:r>
      <w:r w:rsidR="001717DA" w:rsidRPr="00BC434D">
        <w:rPr>
          <w:rFonts w:asciiTheme="majorBidi" w:hAnsiTheme="majorBidi" w:cstheme="majorBidi"/>
          <w:sz w:val="24"/>
          <w:szCs w:val="24"/>
          <w:lang w:val="en-GB"/>
        </w:rPr>
        <w:t>”</w:t>
      </w:r>
      <w:r w:rsidR="009E4971" w:rsidRPr="00BC434D">
        <w:rPr>
          <w:rFonts w:asciiTheme="majorBidi" w:hAnsiTheme="majorBidi" w:cstheme="majorBidi"/>
          <w:sz w:val="24"/>
          <w:szCs w:val="24"/>
          <w:lang w:val="en-GB"/>
        </w:rPr>
        <w:t>.</w:t>
      </w:r>
      <w:r w:rsidR="009E4971" w:rsidRPr="00BC434D">
        <w:rPr>
          <w:rStyle w:val="FootnoteReference"/>
          <w:rFonts w:asciiTheme="majorBidi" w:hAnsiTheme="majorBidi" w:cstheme="majorBidi"/>
          <w:sz w:val="24"/>
          <w:szCs w:val="24"/>
          <w:lang w:val="en-GB"/>
        </w:rPr>
        <w:footnoteReference w:id="22"/>
      </w:r>
      <w:r w:rsidR="000B3BAC" w:rsidRPr="00BC434D">
        <w:rPr>
          <w:rFonts w:asciiTheme="majorBidi" w:hAnsiTheme="majorBidi" w:cstheme="majorBidi"/>
          <w:sz w:val="24"/>
          <w:szCs w:val="24"/>
          <w:lang w:val="en-GB"/>
        </w:rPr>
        <w:t xml:space="preserve"> </w:t>
      </w:r>
      <w:r w:rsidR="0056667C" w:rsidRPr="00BC434D">
        <w:rPr>
          <w:rFonts w:asciiTheme="majorBidi" w:hAnsiTheme="majorBidi" w:cstheme="majorBidi"/>
          <w:sz w:val="24"/>
          <w:szCs w:val="24"/>
          <w:lang w:val="en-GB"/>
        </w:rPr>
        <w:t>At the same time, as the court rightly noted, this principle, in accordance with the norms of German law,</w:t>
      </w:r>
      <w:r w:rsidR="0006579D" w:rsidRPr="00BC434D">
        <w:rPr>
          <w:rStyle w:val="FootnoteReference"/>
          <w:rFonts w:asciiTheme="majorBidi" w:hAnsiTheme="majorBidi" w:cstheme="majorBidi"/>
          <w:sz w:val="24"/>
          <w:szCs w:val="24"/>
          <w:lang w:val="en-GB"/>
        </w:rPr>
        <w:footnoteReference w:id="23"/>
      </w:r>
      <w:r w:rsidR="000B3BAC" w:rsidRPr="00BC434D">
        <w:rPr>
          <w:rFonts w:asciiTheme="majorBidi" w:hAnsiTheme="majorBidi" w:cstheme="majorBidi"/>
          <w:sz w:val="24"/>
          <w:szCs w:val="24"/>
          <w:lang w:val="en-GB"/>
        </w:rPr>
        <w:t xml:space="preserve"> </w:t>
      </w:r>
      <w:r w:rsidR="0056667C" w:rsidRPr="00BC434D">
        <w:rPr>
          <w:rFonts w:asciiTheme="majorBidi" w:hAnsiTheme="majorBidi" w:cstheme="majorBidi"/>
          <w:sz w:val="24"/>
          <w:szCs w:val="24"/>
          <w:lang w:val="en-GB"/>
        </w:rPr>
        <w:t xml:space="preserve">is difficult to apply to the contractual provisions of </w:t>
      </w:r>
      <w:r w:rsidR="00657BA6" w:rsidRPr="00BC434D">
        <w:rPr>
          <w:rFonts w:asciiTheme="majorBidi" w:hAnsiTheme="majorBidi" w:cstheme="majorBidi"/>
          <w:sz w:val="24"/>
          <w:szCs w:val="24"/>
          <w:lang w:val="en-GB"/>
        </w:rPr>
        <w:t>General</w:t>
      </w:r>
      <w:r w:rsidR="0056667C" w:rsidRPr="00BC434D">
        <w:rPr>
          <w:rFonts w:asciiTheme="majorBidi" w:hAnsiTheme="majorBidi" w:cstheme="majorBidi"/>
          <w:sz w:val="24"/>
          <w:szCs w:val="24"/>
          <w:lang w:val="en-GB"/>
        </w:rPr>
        <w:t xml:space="preserve"> Terms and Conditions due to their lack of personal character.</w:t>
      </w:r>
    </w:p>
    <w:p w14:paraId="7D7B9499" w14:textId="64A65DD3" w:rsidR="00A74BB9" w:rsidRPr="00BC434D" w:rsidRDefault="00A74BB9"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 xml:space="preserve">Despite the undeniable fundamental nature of the case, considering the many subtleties associated with such aspects of </w:t>
      </w:r>
      <w:r w:rsidR="006C6892" w:rsidRPr="00BC434D">
        <w:rPr>
          <w:rFonts w:asciiTheme="majorBidi" w:hAnsiTheme="majorBidi" w:cstheme="majorBidi"/>
          <w:sz w:val="24"/>
          <w:szCs w:val="24"/>
          <w:lang w:val="en-GB"/>
        </w:rPr>
        <w:t>it</w:t>
      </w:r>
      <w:r w:rsidRPr="00BC434D">
        <w:rPr>
          <w:rFonts w:asciiTheme="majorBidi" w:hAnsiTheme="majorBidi" w:cstheme="majorBidi"/>
          <w:sz w:val="24"/>
          <w:szCs w:val="24"/>
          <w:lang w:val="en-GB"/>
        </w:rPr>
        <w:t xml:space="preserve"> as the age of the original data subject, which directly affects the validity of the consent, the </w:t>
      </w:r>
      <w:r w:rsidR="006C6892" w:rsidRPr="00BC434D">
        <w:rPr>
          <w:rFonts w:asciiTheme="majorBidi" w:hAnsiTheme="majorBidi" w:cstheme="majorBidi"/>
          <w:sz w:val="24"/>
          <w:szCs w:val="24"/>
          <w:lang w:val="en-GB"/>
        </w:rPr>
        <w:t>parent’s</w:t>
      </w:r>
      <w:r w:rsidRPr="00BC434D">
        <w:rPr>
          <w:rFonts w:asciiTheme="majorBidi" w:hAnsiTheme="majorBidi" w:cstheme="majorBidi"/>
          <w:sz w:val="24"/>
          <w:szCs w:val="24"/>
          <w:lang w:val="en-GB"/>
        </w:rPr>
        <w:t xml:space="preserve"> reasons for seeking access, namely suicide, and the procedural flaws in the attempts at contractual regulation Facebook, LG Berlin cannot be considered unequivocally indicative and decisive of the </w:t>
      </w:r>
      <w:r w:rsidR="004A4F2F" w:rsidRPr="00BC434D">
        <w:rPr>
          <w:rFonts w:asciiTheme="majorBidi" w:hAnsiTheme="majorBidi" w:cstheme="majorBidi"/>
          <w:sz w:val="24"/>
          <w:szCs w:val="24"/>
          <w:lang w:val="en-GB"/>
        </w:rPr>
        <w:t>post-mortem</w:t>
      </w:r>
      <w:r w:rsidRPr="00BC434D">
        <w:rPr>
          <w:rFonts w:asciiTheme="majorBidi" w:hAnsiTheme="majorBidi" w:cstheme="majorBidi"/>
          <w:sz w:val="24"/>
          <w:szCs w:val="24"/>
          <w:lang w:val="en-GB"/>
        </w:rPr>
        <w:t xml:space="preserve"> privacy in Germany as a whole. Nevertheless, given Facebook</w:t>
      </w:r>
      <w:r w:rsidR="00810E36">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s abolition of the </w:t>
      </w:r>
      <w:r w:rsidR="001D080B" w:rsidRPr="00BC434D">
        <w:rPr>
          <w:rFonts w:asciiTheme="majorBidi" w:hAnsiTheme="majorBidi" w:cstheme="majorBidi"/>
          <w:sz w:val="24"/>
          <w:szCs w:val="24"/>
          <w:lang w:val="en-GB"/>
        </w:rPr>
        <w:t>memorialisation</w:t>
      </w:r>
      <w:r w:rsidRPr="00BC434D">
        <w:rPr>
          <w:rFonts w:asciiTheme="majorBidi" w:hAnsiTheme="majorBidi" w:cstheme="majorBidi"/>
          <w:sz w:val="24"/>
          <w:szCs w:val="24"/>
          <w:lang w:val="en-GB"/>
        </w:rPr>
        <w:t xml:space="preserve"> procedure for German accounts, the prospect of considering the aspect of </w:t>
      </w:r>
      <w:r w:rsidR="005F464E" w:rsidRPr="00BC434D">
        <w:rPr>
          <w:rFonts w:asciiTheme="majorBidi" w:hAnsiTheme="majorBidi" w:cstheme="majorBidi"/>
          <w:sz w:val="24"/>
          <w:szCs w:val="24"/>
          <w:lang w:val="en-GB"/>
        </w:rPr>
        <w:t>standardised</w:t>
      </w:r>
      <w:r w:rsidRPr="00BC434D">
        <w:rPr>
          <w:rFonts w:asciiTheme="majorBidi" w:hAnsiTheme="majorBidi" w:cstheme="majorBidi"/>
          <w:sz w:val="24"/>
          <w:szCs w:val="24"/>
          <w:lang w:val="en-GB"/>
        </w:rPr>
        <w:t xml:space="preserve"> and non-standardized contractual clauses as a potential way to ensure posthumous privacy in the context of the 1922 BGB anywhere other than in scholarly discourse seems unlikely.</w:t>
      </w:r>
      <w:r w:rsidR="001D4EC6" w:rsidRPr="00BC434D">
        <w:rPr>
          <w:rStyle w:val="FootnoteReference"/>
          <w:rFonts w:asciiTheme="majorBidi" w:hAnsiTheme="majorBidi" w:cstheme="majorBidi"/>
          <w:sz w:val="24"/>
          <w:szCs w:val="24"/>
          <w:lang w:val="en-GB"/>
        </w:rPr>
        <w:footnoteReference w:id="24"/>
      </w:r>
    </w:p>
    <w:p w14:paraId="3BEFB52D" w14:textId="278B29C4" w:rsidR="001002E6" w:rsidRPr="00BC434D" w:rsidRDefault="001002E6"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A similar, i.e.</w:t>
      </w:r>
      <w:r w:rsidR="00F15CD2"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 primarily based on the principle of universal</w:t>
      </w:r>
      <w:r w:rsidR="00C83B03" w:rsidRPr="00BC434D">
        <w:rPr>
          <w:rFonts w:asciiTheme="majorBidi" w:hAnsiTheme="majorBidi" w:cstheme="majorBidi"/>
          <w:sz w:val="24"/>
          <w:szCs w:val="24"/>
          <w:lang w:val="en-GB"/>
        </w:rPr>
        <w:t xml:space="preserve"> </w:t>
      </w:r>
      <w:r w:rsidR="002855F9" w:rsidRPr="00BC434D">
        <w:rPr>
          <w:rFonts w:asciiTheme="majorBidi" w:hAnsiTheme="majorBidi" w:cstheme="majorBidi"/>
          <w:sz w:val="24"/>
          <w:szCs w:val="24"/>
          <w:lang w:val="en-GB"/>
        </w:rPr>
        <w:t>succession</w:t>
      </w:r>
      <w:r w:rsidRPr="00BC434D">
        <w:rPr>
          <w:rFonts w:asciiTheme="majorBidi" w:hAnsiTheme="majorBidi" w:cstheme="majorBidi"/>
          <w:sz w:val="24"/>
          <w:szCs w:val="24"/>
          <w:lang w:val="en-GB"/>
        </w:rPr>
        <w:t xml:space="preserve">, approach to the regulation of posthumous privacy is likely to be </w:t>
      </w:r>
      <w:r w:rsidR="002D6BCB" w:rsidRPr="00BC434D">
        <w:rPr>
          <w:rFonts w:asciiTheme="majorBidi" w:hAnsiTheme="majorBidi" w:cstheme="majorBidi"/>
          <w:sz w:val="24"/>
          <w:szCs w:val="24"/>
          <w:lang w:val="en-GB"/>
        </w:rPr>
        <w:t>used</w:t>
      </w:r>
      <w:r w:rsidRPr="00BC434D">
        <w:rPr>
          <w:rFonts w:asciiTheme="majorBidi" w:hAnsiTheme="majorBidi" w:cstheme="majorBidi"/>
          <w:sz w:val="24"/>
          <w:szCs w:val="24"/>
          <w:lang w:val="en-GB"/>
        </w:rPr>
        <w:t xml:space="preserve"> in most </w:t>
      </w:r>
      <w:r w:rsidR="002D6BCB" w:rsidRPr="00BC434D">
        <w:rPr>
          <w:rFonts w:asciiTheme="majorBidi" w:hAnsiTheme="majorBidi" w:cstheme="majorBidi"/>
          <w:sz w:val="24"/>
          <w:szCs w:val="24"/>
          <w:lang w:val="en-GB"/>
        </w:rPr>
        <w:t xml:space="preserve">EU </w:t>
      </w:r>
      <w:r w:rsidRPr="00BC434D">
        <w:rPr>
          <w:rFonts w:asciiTheme="majorBidi" w:hAnsiTheme="majorBidi" w:cstheme="majorBidi"/>
          <w:sz w:val="24"/>
          <w:szCs w:val="24"/>
          <w:lang w:val="en-GB"/>
        </w:rPr>
        <w:t>countries that have not incorporated or deliberately excluded the potential possibility of incorporating (Sweden)</w:t>
      </w:r>
      <w:r w:rsidR="00BE08E7" w:rsidRPr="00BC434D">
        <w:rPr>
          <w:rFonts w:asciiTheme="majorBidi" w:hAnsiTheme="majorBidi" w:cstheme="majorBidi"/>
          <w:sz w:val="24"/>
          <w:szCs w:val="24"/>
          <w:lang w:val="en-GB"/>
        </w:rPr>
        <w:t xml:space="preserve"> </w:t>
      </w:r>
      <w:r w:rsidR="00BE08E7" w:rsidRPr="00BC434D">
        <w:rPr>
          <w:rStyle w:val="FootnoteReference"/>
          <w:rFonts w:asciiTheme="majorBidi" w:hAnsiTheme="majorBidi" w:cstheme="majorBidi"/>
          <w:sz w:val="24"/>
          <w:szCs w:val="24"/>
          <w:lang w:val="en-GB"/>
        </w:rPr>
        <w:footnoteReference w:id="25"/>
      </w:r>
      <w:r w:rsidR="00E91202" w:rsidRPr="00BC434D">
        <w:rPr>
          <w:rFonts w:asciiTheme="majorBidi" w:hAnsiTheme="majorBidi" w:cstheme="majorBidi"/>
          <w:sz w:val="24"/>
          <w:szCs w:val="24"/>
          <w:lang w:val="en-GB"/>
        </w:rPr>
        <w:t xml:space="preserve"> </w:t>
      </w:r>
      <w:r w:rsidRPr="00BC434D">
        <w:rPr>
          <w:rFonts w:asciiTheme="majorBidi" w:hAnsiTheme="majorBidi" w:cstheme="majorBidi"/>
          <w:sz w:val="24"/>
          <w:szCs w:val="24"/>
          <w:lang w:val="en-GB"/>
        </w:rPr>
        <w:t xml:space="preserve">provisions on posthumous data protection into their codes, given </w:t>
      </w:r>
      <w:r w:rsidR="00292605" w:rsidRPr="00BC434D">
        <w:rPr>
          <w:rFonts w:asciiTheme="majorBidi" w:hAnsiTheme="majorBidi" w:cstheme="majorBidi"/>
          <w:sz w:val="24"/>
          <w:szCs w:val="24"/>
          <w:lang w:val="en-GB"/>
        </w:rPr>
        <w:t>prevalence</w:t>
      </w:r>
      <w:r w:rsidRPr="00BC434D">
        <w:rPr>
          <w:rFonts w:asciiTheme="majorBidi" w:hAnsiTheme="majorBidi" w:cstheme="majorBidi"/>
          <w:sz w:val="24"/>
          <w:szCs w:val="24"/>
          <w:lang w:val="en-GB"/>
        </w:rPr>
        <w:t xml:space="preserve"> of the principle of </w:t>
      </w:r>
      <w:r w:rsidR="00292605" w:rsidRPr="00BC434D">
        <w:rPr>
          <w:rFonts w:asciiTheme="majorBidi" w:hAnsiTheme="majorBidi" w:cstheme="majorBidi"/>
          <w:sz w:val="24"/>
          <w:szCs w:val="24"/>
          <w:lang w:val="en-GB"/>
        </w:rPr>
        <w:t>the universal succession in</w:t>
      </w:r>
      <w:r w:rsidRPr="00BC434D">
        <w:rPr>
          <w:rFonts w:asciiTheme="majorBidi" w:hAnsiTheme="majorBidi" w:cstheme="majorBidi"/>
          <w:sz w:val="24"/>
          <w:szCs w:val="24"/>
          <w:lang w:val="en-GB"/>
        </w:rPr>
        <w:t xml:space="preserve"> European legal systems.</w:t>
      </w:r>
      <w:r w:rsidR="00292605" w:rsidRPr="00BC434D">
        <w:rPr>
          <w:rStyle w:val="FootnoteReference"/>
          <w:rFonts w:asciiTheme="majorBidi" w:hAnsiTheme="majorBidi" w:cstheme="majorBidi"/>
          <w:sz w:val="24"/>
          <w:szCs w:val="24"/>
          <w:lang w:val="en-GB"/>
        </w:rPr>
        <w:footnoteReference w:id="26"/>
      </w:r>
      <w:r w:rsidRPr="00BC434D">
        <w:rPr>
          <w:rFonts w:asciiTheme="majorBidi" w:hAnsiTheme="majorBidi" w:cstheme="majorBidi"/>
          <w:sz w:val="24"/>
          <w:szCs w:val="24"/>
          <w:lang w:val="en-GB"/>
        </w:rPr>
        <w:t xml:space="preserve"> </w:t>
      </w:r>
    </w:p>
    <w:p w14:paraId="4992BB88" w14:textId="5944C20B" w:rsidR="003E1B06" w:rsidRPr="00BC434D" w:rsidRDefault="00101931"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However</w:t>
      </w:r>
      <w:r w:rsidR="00FD12CC" w:rsidRPr="00BC434D">
        <w:rPr>
          <w:rFonts w:asciiTheme="majorBidi" w:hAnsiTheme="majorBidi" w:cstheme="majorBidi"/>
          <w:sz w:val="24"/>
          <w:szCs w:val="24"/>
          <w:lang w:val="en-GB"/>
        </w:rPr>
        <w:t>, to consider</w:t>
      </w:r>
      <w:r w:rsidR="00914803" w:rsidRPr="00BC434D">
        <w:rPr>
          <w:rFonts w:asciiTheme="majorBidi" w:hAnsiTheme="majorBidi" w:cstheme="majorBidi"/>
          <w:sz w:val="24"/>
          <w:szCs w:val="24"/>
          <w:lang w:val="en-GB"/>
        </w:rPr>
        <w:t xml:space="preserve"> this approach </w:t>
      </w:r>
      <w:r w:rsidR="001D3E7E" w:rsidRPr="00BC434D">
        <w:rPr>
          <w:rFonts w:asciiTheme="majorBidi" w:hAnsiTheme="majorBidi" w:cstheme="majorBidi"/>
          <w:sz w:val="24"/>
          <w:szCs w:val="24"/>
          <w:lang w:val="en-GB"/>
        </w:rPr>
        <w:t>the only</w:t>
      </w:r>
      <w:r w:rsidR="00FD12CC" w:rsidRPr="00BC434D">
        <w:rPr>
          <w:rFonts w:asciiTheme="majorBidi" w:hAnsiTheme="majorBidi" w:cstheme="majorBidi"/>
          <w:sz w:val="24"/>
          <w:szCs w:val="24"/>
          <w:lang w:val="en-GB"/>
        </w:rPr>
        <w:t xml:space="preserve"> possible</w:t>
      </w:r>
      <w:r w:rsidRPr="00BC434D">
        <w:rPr>
          <w:rFonts w:asciiTheme="majorBidi" w:hAnsiTheme="majorBidi" w:cstheme="majorBidi"/>
          <w:sz w:val="24"/>
          <w:szCs w:val="24"/>
          <w:lang w:val="en-GB"/>
        </w:rPr>
        <w:t xml:space="preserve">, given the lack of </w:t>
      </w:r>
      <w:r w:rsidR="005F464E" w:rsidRPr="00BC434D">
        <w:rPr>
          <w:rFonts w:asciiTheme="majorBidi" w:hAnsiTheme="majorBidi" w:cstheme="majorBidi"/>
          <w:sz w:val="24"/>
          <w:szCs w:val="24"/>
          <w:lang w:val="en-GB"/>
        </w:rPr>
        <w:t>harmonisation</w:t>
      </w:r>
      <w:r w:rsidRPr="00BC434D">
        <w:rPr>
          <w:rFonts w:asciiTheme="majorBidi" w:hAnsiTheme="majorBidi" w:cstheme="majorBidi"/>
          <w:sz w:val="24"/>
          <w:szCs w:val="24"/>
          <w:lang w:val="en-GB"/>
        </w:rPr>
        <w:t xml:space="preserve"> in the issue of digital inheritance, would be too presumptuous </w:t>
      </w:r>
      <w:r w:rsidR="00FD12CC" w:rsidRPr="00BC434D">
        <w:rPr>
          <w:rFonts w:asciiTheme="majorBidi" w:hAnsiTheme="majorBidi" w:cstheme="majorBidi"/>
          <w:sz w:val="24"/>
          <w:szCs w:val="24"/>
          <w:lang w:val="en-GB"/>
        </w:rPr>
        <w:t>considering</w:t>
      </w:r>
      <w:r w:rsidRPr="00BC434D">
        <w:rPr>
          <w:rFonts w:asciiTheme="majorBidi" w:hAnsiTheme="majorBidi" w:cstheme="majorBidi"/>
          <w:sz w:val="24"/>
          <w:szCs w:val="24"/>
          <w:lang w:val="en-GB"/>
        </w:rPr>
        <w:t xml:space="preserve"> the additional factors of </w:t>
      </w:r>
      <w:r w:rsidRPr="00BC434D">
        <w:rPr>
          <w:rFonts w:asciiTheme="majorBidi" w:hAnsiTheme="majorBidi" w:cstheme="majorBidi"/>
          <w:sz w:val="24"/>
          <w:szCs w:val="24"/>
          <w:lang w:val="en-GB"/>
        </w:rPr>
        <w:lastRenderedPageBreak/>
        <w:t xml:space="preserve">its regulation, in </w:t>
      </w:r>
      <w:r w:rsidR="00447212" w:rsidRPr="00BC434D">
        <w:rPr>
          <w:rFonts w:asciiTheme="majorBidi" w:hAnsiTheme="majorBidi" w:cstheme="majorBidi"/>
          <w:sz w:val="24"/>
          <w:szCs w:val="24"/>
          <w:lang w:val="en-GB"/>
        </w:rPr>
        <w:t>each country</w:t>
      </w:r>
      <w:r w:rsidRPr="00BC434D">
        <w:rPr>
          <w:rFonts w:asciiTheme="majorBidi" w:hAnsiTheme="majorBidi" w:cstheme="majorBidi"/>
          <w:sz w:val="24"/>
          <w:szCs w:val="24"/>
          <w:lang w:val="en-GB"/>
        </w:rPr>
        <w:t xml:space="preserve"> countries, such as the definition and classification of </w:t>
      </w:r>
      <w:r w:rsidR="001717DA"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digital assets</w:t>
      </w:r>
      <w:r w:rsidR="001717DA"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 the</w:t>
      </w:r>
      <w:r w:rsidR="00AE06BA" w:rsidRPr="00BC434D">
        <w:rPr>
          <w:rFonts w:asciiTheme="majorBidi" w:hAnsiTheme="majorBidi" w:cstheme="majorBidi"/>
          <w:sz w:val="24"/>
          <w:szCs w:val="24"/>
          <w:lang w:val="en-GB"/>
        </w:rPr>
        <w:t xml:space="preserve"> level of their</w:t>
      </w:r>
      <w:r w:rsidRPr="00BC434D">
        <w:rPr>
          <w:rFonts w:asciiTheme="majorBidi" w:hAnsiTheme="majorBidi" w:cstheme="majorBidi"/>
          <w:sz w:val="24"/>
          <w:szCs w:val="24"/>
          <w:lang w:val="en-GB"/>
        </w:rPr>
        <w:t xml:space="preserve"> heritability</w:t>
      </w:r>
      <w:r w:rsidR="00447212" w:rsidRPr="00BC434D">
        <w:rPr>
          <w:rFonts w:asciiTheme="majorBidi" w:hAnsiTheme="majorBidi" w:cstheme="majorBidi"/>
          <w:sz w:val="24"/>
          <w:szCs w:val="24"/>
          <w:lang w:val="en-GB"/>
        </w:rPr>
        <w:t xml:space="preserve">, </w:t>
      </w:r>
      <w:r w:rsidRPr="00BC434D">
        <w:rPr>
          <w:rFonts w:asciiTheme="majorBidi" w:hAnsiTheme="majorBidi" w:cstheme="majorBidi"/>
          <w:sz w:val="24"/>
          <w:szCs w:val="24"/>
          <w:lang w:val="en-GB"/>
        </w:rPr>
        <w:t xml:space="preserve">additional </w:t>
      </w:r>
      <w:r w:rsidR="005F464E" w:rsidRPr="00BC434D">
        <w:rPr>
          <w:rFonts w:asciiTheme="majorBidi" w:hAnsiTheme="majorBidi" w:cstheme="majorBidi"/>
          <w:sz w:val="24"/>
          <w:szCs w:val="24"/>
          <w:lang w:val="en-GB"/>
        </w:rPr>
        <w:t>aspects</w:t>
      </w:r>
      <w:r w:rsidRPr="00BC434D">
        <w:rPr>
          <w:rFonts w:asciiTheme="majorBidi" w:hAnsiTheme="majorBidi" w:cstheme="majorBidi"/>
          <w:sz w:val="24"/>
          <w:szCs w:val="24"/>
          <w:lang w:val="en-GB"/>
        </w:rPr>
        <w:t xml:space="preserve"> of privacy</w:t>
      </w:r>
      <w:r w:rsidR="00447212" w:rsidRPr="00BC434D">
        <w:rPr>
          <w:rFonts w:asciiTheme="majorBidi" w:hAnsiTheme="majorBidi" w:cstheme="majorBidi"/>
          <w:sz w:val="24"/>
          <w:szCs w:val="24"/>
          <w:lang w:val="en-GB"/>
        </w:rPr>
        <w:t xml:space="preserve"> or the </w:t>
      </w:r>
      <w:r w:rsidRPr="00BC434D">
        <w:rPr>
          <w:rFonts w:asciiTheme="majorBidi" w:hAnsiTheme="majorBidi" w:cstheme="majorBidi"/>
          <w:sz w:val="24"/>
          <w:szCs w:val="24"/>
          <w:lang w:val="en-GB"/>
        </w:rPr>
        <w:t>interpretation and weight of contract law. For example, if we proceed from the</w:t>
      </w:r>
      <w:r w:rsidR="00005374" w:rsidRPr="00BC434D">
        <w:rPr>
          <w:rFonts w:asciiTheme="majorBidi" w:hAnsiTheme="majorBidi" w:cstheme="majorBidi"/>
          <w:sz w:val="24"/>
          <w:szCs w:val="24"/>
          <w:lang w:val="en-GB"/>
        </w:rPr>
        <w:t xml:space="preserve"> LG Berlin </w:t>
      </w:r>
      <w:r w:rsidR="00C120B3" w:rsidRPr="00BC434D">
        <w:rPr>
          <w:rFonts w:asciiTheme="majorBidi" w:hAnsiTheme="majorBidi" w:cstheme="majorBidi"/>
          <w:sz w:val="24"/>
          <w:szCs w:val="24"/>
          <w:lang w:val="en-GB"/>
        </w:rPr>
        <w:t>judgement</w:t>
      </w:r>
      <w:r w:rsidR="00447212" w:rsidRPr="00BC434D">
        <w:rPr>
          <w:rFonts w:asciiTheme="majorBidi" w:hAnsiTheme="majorBidi" w:cstheme="majorBidi"/>
          <w:sz w:val="24"/>
          <w:szCs w:val="24"/>
          <w:lang w:val="en-GB"/>
        </w:rPr>
        <w:t>`s</w:t>
      </w:r>
      <w:r w:rsidRPr="00BC434D">
        <w:rPr>
          <w:rFonts w:asciiTheme="majorBidi" w:hAnsiTheme="majorBidi" w:cstheme="majorBidi"/>
          <w:sz w:val="24"/>
          <w:szCs w:val="24"/>
          <w:lang w:val="en-GB"/>
        </w:rPr>
        <w:t xml:space="preserve"> idea of equating the inheritance of digital assets with their material counterparts in the context of Polish legislation, then taking into account the</w:t>
      </w:r>
      <w:r w:rsidR="00AA778C" w:rsidRPr="00BC434D">
        <w:rPr>
          <w:rFonts w:asciiTheme="majorBidi" w:hAnsiTheme="majorBidi" w:cstheme="majorBidi"/>
          <w:sz w:val="24"/>
          <w:szCs w:val="24"/>
          <w:lang w:val="en-GB"/>
        </w:rPr>
        <w:t xml:space="preserve"> </w:t>
      </w:r>
      <w:r w:rsidR="00C120B3" w:rsidRPr="00BC434D">
        <w:rPr>
          <w:rFonts w:asciiTheme="majorBidi" w:hAnsiTheme="majorBidi" w:cstheme="majorBidi"/>
          <w:sz w:val="24"/>
          <w:szCs w:val="24"/>
          <w:lang w:val="en-GB"/>
        </w:rPr>
        <w:t>P</w:t>
      </w:r>
      <w:r w:rsidR="00AA778C" w:rsidRPr="00BC434D">
        <w:rPr>
          <w:rFonts w:asciiTheme="majorBidi" w:hAnsiTheme="majorBidi" w:cstheme="majorBidi"/>
          <w:sz w:val="24"/>
          <w:szCs w:val="24"/>
          <w:lang w:val="en-GB"/>
        </w:rPr>
        <w:t>olish rule</w:t>
      </w:r>
      <w:r w:rsidR="00C120B3" w:rsidRPr="00BC434D">
        <w:rPr>
          <w:rFonts w:asciiTheme="majorBidi" w:hAnsiTheme="majorBidi" w:cstheme="majorBidi"/>
          <w:sz w:val="24"/>
          <w:szCs w:val="24"/>
          <w:lang w:val="en-GB"/>
        </w:rPr>
        <w:t xml:space="preserve"> of the</w:t>
      </w:r>
      <w:r w:rsidRPr="00BC434D">
        <w:rPr>
          <w:rFonts w:asciiTheme="majorBidi" w:hAnsiTheme="majorBidi" w:cstheme="majorBidi"/>
          <w:sz w:val="24"/>
          <w:szCs w:val="24"/>
          <w:lang w:val="en-GB"/>
        </w:rPr>
        <w:t xml:space="preserve"> limitation of disclosure of private correspondence to </w:t>
      </w:r>
      <w:r w:rsidR="005F464E" w:rsidRPr="00BC434D">
        <w:rPr>
          <w:rFonts w:asciiTheme="majorBidi" w:hAnsiTheme="majorBidi" w:cstheme="majorBidi"/>
          <w:sz w:val="24"/>
          <w:szCs w:val="24"/>
          <w:lang w:val="en-GB"/>
        </w:rPr>
        <w:t>specific</w:t>
      </w:r>
      <w:r w:rsidRPr="00BC434D">
        <w:rPr>
          <w:rFonts w:asciiTheme="majorBidi" w:hAnsiTheme="majorBidi" w:cstheme="majorBidi"/>
          <w:sz w:val="24"/>
          <w:szCs w:val="24"/>
          <w:lang w:val="en-GB"/>
        </w:rPr>
        <w:t xml:space="preserve"> </w:t>
      </w:r>
      <w:r w:rsidR="00D346A7" w:rsidRPr="00BC434D">
        <w:rPr>
          <w:rFonts w:asciiTheme="majorBidi" w:hAnsiTheme="majorBidi" w:cstheme="majorBidi"/>
          <w:sz w:val="24"/>
          <w:szCs w:val="24"/>
          <w:lang w:val="en-GB"/>
        </w:rPr>
        <w:t>categories of people only</w:t>
      </w:r>
      <w:r w:rsidRPr="00BC434D">
        <w:rPr>
          <w:rFonts w:asciiTheme="majorBidi" w:hAnsiTheme="majorBidi" w:cstheme="majorBidi"/>
          <w:sz w:val="24"/>
          <w:szCs w:val="24"/>
          <w:lang w:val="en-GB"/>
        </w:rPr>
        <w:t xml:space="preserve">, </w:t>
      </w:r>
      <w:r w:rsidR="006A2351" w:rsidRPr="00BC434D">
        <w:rPr>
          <w:rFonts w:asciiTheme="majorBidi" w:hAnsiTheme="majorBidi" w:cstheme="majorBidi"/>
          <w:sz w:val="24"/>
          <w:szCs w:val="24"/>
          <w:lang w:val="en-GB"/>
        </w:rPr>
        <w:t>the disclosure of the messages</w:t>
      </w:r>
      <w:r w:rsidR="00603737" w:rsidRPr="00BC434D">
        <w:rPr>
          <w:rFonts w:asciiTheme="majorBidi" w:hAnsiTheme="majorBidi" w:cstheme="majorBidi"/>
          <w:sz w:val="24"/>
          <w:szCs w:val="24"/>
          <w:lang w:val="en-GB"/>
        </w:rPr>
        <w:t xml:space="preserve"> w</w:t>
      </w:r>
      <w:r w:rsidR="00C753E4" w:rsidRPr="00BC434D">
        <w:rPr>
          <w:rFonts w:asciiTheme="majorBidi" w:hAnsiTheme="majorBidi" w:cstheme="majorBidi"/>
          <w:sz w:val="24"/>
          <w:szCs w:val="24"/>
          <w:lang w:val="en-GB"/>
        </w:rPr>
        <w:t>ould</w:t>
      </w:r>
      <w:r w:rsidR="00603737" w:rsidRPr="00BC434D">
        <w:rPr>
          <w:rFonts w:asciiTheme="majorBidi" w:hAnsiTheme="majorBidi" w:cstheme="majorBidi"/>
          <w:sz w:val="24"/>
          <w:szCs w:val="24"/>
          <w:lang w:val="en-GB"/>
        </w:rPr>
        <w:t xml:space="preserve"> already</w:t>
      </w:r>
      <w:r w:rsidR="001A02A0" w:rsidRPr="00BC434D">
        <w:rPr>
          <w:rFonts w:asciiTheme="majorBidi" w:hAnsiTheme="majorBidi" w:cstheme="majorBidi"/>
          <w:sz w:val="24"/>
          <w:szCs w:val="24"/>
          <w:lang w:val="en-GB"/>
        </w:rPr>
        <w:t xml:space="preserve"> be assessed </w:t>
      </w:r>
      <w:r w:rsidR="00603737" w:rsidRPr="00BC434D">
        <w:rPr>
          <w:rFonts w:asciiTheme="majorBidi" w:hAnsiTheme="majorBidi" w:cstheme="majorBidi"/>
          <w:sz w:val="24"/>
          <w:szCs w:val="24"/>
          <w:lang w:val="en-GB"/>
        </w:rPr>
        <w:t>differently</w:t>
      </w:r>
      <w:r w:rsidR="00711372" w:rsidRPr="00BC434D">
        <w:rPr>
          <w:rFonts w:asciiTheme="majorBidi" w:hAnsiTheme="majorBidi" w:cstheme="majorBidi"/>
          <w:sz w:val="24"/>
          <w:szCs w:val="24"/>
          <w:lang w:val="en-GB"/>
        </w:rPr>
        <w:t>.</w:t>
      </w:r>
      <w:r w:rsidR="00711372" w:rsidRPr="00BC434D">
        <w:rPr>
          <w:rStyle w:val="FootnoteReference"/>
          <w:rFonts w:asciiTheme="majorBidi" w:hAnsiTheme="majorBidi" w:cstheme="majorBidi"/>
          <w:sz w:val="24"/>
          <w:szCs w:val="24"/>
          <w:lang w:val="en-GB"/>
        </w:rPr>
        <w:footnoteReference w:id="27"/>
      </w:r>
    </w:p>
    <w:p w14:paraId="5C3AF695" w14:textId="1DE79592" w:rsidR="00047A4A" w:rsidRPr="00BC434D" w:rsidRDefault="002E26F4" w:rsidP="00D848BE">
      <w:pPr>
        <w:pStyle w:val="Heading2"/>
        <w:numPr>
          <w:ilvl w:val="1"/>
          <w:numId w:val="18"/>
        </w:numPr>
        <w:spacing w:line="276" w:lineRule="auto"/>
        <w:rPr>
          <w:rFonts w:asciiTheme="majorBidi" w:hAnsiTheme="majorBidi"/>
          <w:b/>
          <w:bCs/>
          <w:i/>
          <w:iCs/>
          <w:color w:val="auto"/>
          <w:sz w:val="24"/>
          <w:szCs w:val="24"/>
          <w:lang w:val="en-GB"/>
        </w:rPr>
      </w:pPr>
      <w:r w:rsidRPr="00BC434D">
        <w:rPr>
          <w:rFonts w:asciiTheme="majorBidi" w:hAnsiTheme="majorBidi"/>
          <w:b/>
          <w:bCs/>
          <w:i/>
          <w:iCs/>
          <w:color w:val="auto"/>
          <w:sz w:val="24"/>
          <w:szCs w:val="24"/>
          <w:lang w:val="en-GB"/>
        </w:rPr>
        <w:t xml:space="preserve">Italy </w:t>
      </w:r>
      <w:r w:rsidR="00663DD5" w:rsidRPr="00BC434D">
        <w:rPr>
          <w:rFonts w:asciiTheme="majorBidi" w:hAnsiTheme="majorBidi"/>
          <w:b/>
          <w:bCs/>
          <w:i/>
          <w:iCs/>
          <w:color w:val="auto"/>
          <w:sz w:val="24"/>
          <w:szCs w:val="24"/>
          <w:lang w:val="en-GB"/>
        </w:rPr>
        <w:br/>
      </w:r>
    </w:p>
    <w:p w14:paraId="7F7C51B0" w14:textId="359CD242" w:rsidR="002855F9" w:rsidRPr="00BC434D" w:rsidRDefault="002855F9"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Italy is one of the countries that has taken the opportunity to extend some provisions of the GDPR to post-mortem data. Legislative Decree no. 101 of 2018, incorporates Articles 15 to 22 of the GDPR into law in such a way that they can be used by legal successors or a designated person to protect the interests of the deceased in relation to the management of their data.</w:t>
      </w:r>
      <w:r w:rsidR="006503EE" w:rsidRPr="00BC434D">
        <w:rPr>
          <w:rStyle w:val="FootnoteReference"/>
          <w:rFonts w:asciiTheme="majorBidi" w:hAnsiTheme="majorBidi" w:cstheme="majorBidi"/>
          <w:sz w:val="24"/>
          <w:szCs w:val="24"/>
          <w:lang w:val="en-GB"/>
        </w:rPr>
        <w:footnoteReference w:id="28"/>
      </w:r>
    </w:p>
    <w:p w14:paraId="428CFE52" w14:textId="5E5B5A2A" w:rsidR="004904B9" w:rsidRPr="00BC434D" w:rsidRDefault="002855F9"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 xml:space="preserve">Also, according to the new decree, it became possible for persons to </w:t>
      </w:r>
      <w:r w:rsidR="00047A4A" w:rsidRPr="00BC434D">
        <w:rPr>
          <w:rFonts w:asciiTheme="majorBidi" w:hAnsiTheme="majorBidi" w:cstheme="majorBidi"/>
          <w:sz w:val="24"/>
          <w:szCs w:val="24"/>
          <w:lang w:val="en-GB"/>
        </w:rPr>
        <w:t xml:space="preserve">partially </w:t>
      </w:r>
      <w:r w:rsidRPr="00BC434D">
        <w:rPr>
          <w:rFonts w:asciiTheme="majorBidi" w:hAnsiTheme="majorBidi" w:cstheme="majorBidi"/>
          <w:sz w:val="24"/>
          <w:szCs w:val="24"/>
          <w:lang w:val="en-GB"/>
        </w:rPr>
        <w:t>regulate the post-</w:t>
      </w:r>
      <w:r w:rsidR="00BD5CFB" w:rsidRPr="00BC434D">
        <w:rPr>
          <w:rFonts w:asciiTheme="majorBidi" w:hAnsiTheme="majorBidi" w:cstheme="majorBidi"/>
          <w:sz w:val="24"/>
          <w:szCs w:val="24"/>
          <w:lang w:val="en-GB"/>
        </w:rPr>
        <w:t>mortem</w:t>
      </w:r>
      <w:r w:rsidRPr="00BC434D">
        <w:rPr>
          <w:rFonts w:asciiTheme="majorBidi" w:hAnsiTheme="majorBidi" w:cstheme="majorBidi"/>
          <w:sz w:val="24"/>
          <w:szCs w:val="24"/>
          <w:lang w:val="en-GB"/>
        </w:rPr>
        <w:t xml:space="preserve"> dat</w:t>
      </w:r>
      <w:r w:rsidR="00BD5CFB" w:rsidRPr="00BC434D">
        <w:rPr>
          <w:rFonts w:asciiTheme="majorBidi" w:hAnsiTheme="majorBidi" w:cstheme="majorBidi"/>
          <w:sz w:val="24"/>
          <w:szCs w:val="24"/>
          <w:lang w:val="en-GB"/>
        </w:rPr>
        <w:t>a</w:t>
      </w:r>
      <w:r w:rsidRPr="00BC434D">
        <w:rPr>
          <w:rFonts w:asciiTheme="majorBidi" w:hAnsiTheme="majorBidi" w:cstheme="majorBidi"/>
          <w:sz w:val="24"/>
          <w:szCs w:val="24"/>
          <w:lang w:val="en-GB"/>
        </w:rPr>
        <w:t xml:space="preserve"> by means of a direct written will regarding the further fate of digital assets to the address of the data controller, i.e. the service provider in the case of social networks and digital storage, which includes the possibility to prohibit legal successors from using the rights within the framework of the above-mentioned Articles 15-22 of the GDPR.</w:t>
      </w:r>
      <w:r w:rsidR="008E013C" w:rsidRPr="00BC434D">
        <w:rPr>
          <w:rFonts w:asciiTheme="majorBidi" w:hAnsiTheme="majorBidi" w:cstheme="majorBidi"/>
          <w:sz w:val="24"/>
          <w:szCs w:val="24"/>
          <w:lang w:val="en-GB"/>
        </w:rPr>
        <w:t xml:space="preserve"> </w:t>
      </w:r>
      <w:r w:rsidR="008E013C" w:rsidRPr="00BC434D">
        <w:rPr>
          <w:rStyle w:val="FootnoteReference"/>
          <w:rFonts w:asciiTheme="majorBidi" w:hAnsiTheme="majorBidi" w:cstheme="majorBidi"/>
          <w:sz w:val="24"/>
          <w:szCs w:val="24"/>
          <w:lang w:val="en-GB"/>
        </w:rPr>
        <w:footnoteReference w:id="29"/>
      </w:r>
    </w:p>
    <w:p w14:paraId="117E44C2" w14:textId="51DEBB03" w:rsidR="00FD4812" w:rsidRPr="00BC434D" w:rsidRDefault="00683575"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 xml:space="preserve">It is </w:t>
      </w:r>
      <w:r w:rsidR="00BB3D1D" w:rsidRPr="00BC434D">
        <w:rPr>
          <w:rFonts w:asciiTheme="majorBidi" w:hAnsiTheme="majorBidi" w:cstheme="majorBidi"/>
          <w:sz w:val="24"/>
          <w:szCs w:val="24"/>
          <w:lang w:val="en-GB"/>
        </w:rPr>
        <w:t>crucial</w:t>
      </w:r>
      <w:r w:rsidRPr="00BC434D">
        <w:rPr>
          <w:rFonts w:asciiTheme="majorBidi" w:hAnsiTheme="majorBidi" w:cstheme="majorBidi"/>
          <w:sz w:val="24"/>
          <w:szCs w:val="24"/>
          <w:lang w:val="en-GB"/>
        </w:rPr>
        <w:t xml:space="preserve"> that the law itself n</w:t>
      </w:r>
      <w:r w:rsidR="00A25643" w:rsidRPr="00BC434D">
        <w:rPr>
          <w:rFonts w:asciiTheme="majorBidi" w:hAnsiTheme="majorBidi" w:cstheme="majorBidi"/>
          <w:sz w:val="24"/>
          <w:szCs w:val="24"/>
          <w:lang w:val="en-GB"/>
        </w:rPr>
        <w:t>either</w:t>
      </w:r>
      <w:r w:rsidRPr="00BC434D">
        <w:rPr>
          <w:rFonts w:asciiTheme="majorBidi" w:hAnsiTheme="majorBidi" w:cstheme="majorBidi"/>
          <w:sz w:val="24"/>
          <w:szCs w:val="24"/>
          <w:lang w:val="en-GB"/>
        </w:rPr>
        <w:t xml:space="preserve"> overrides the fundamental principle of universal </w:t>
      </w:r>
      <w:r w:rsidR="00243990" w:rsidRPr="00BC434D">
        <w:rPr>
          <w:rFonts w:asciiTheme="majorBidi" w:hAnsiTheme="majorBidi" w:cstheme="majorBidi"/>
          <w:sz w:val="24"/>
          <w:szCs w:val="24"/>
          <w:lang w:val="en-GB"/>
        </w:rPr>
        <w:t>succession</w:t>
      </w:r>
      <w:r w:rsidRPr="00BC434D">
        <w:rPr>
          <w:rFonts w:asciiTheme="majorBidi" w:hAnsiTheme="majorBidi" w:cstheme="majorBidi"/>
          <w:sz w:val="24"/>
          <w:szCs w:val="24"/>
          <w:lang w:val="en-GB"/>
        </w:rPr>
        <w:t xml:space="preserve">, </w:t>
      </w:r>
      <w:r w:rsidR="00A25643" w:rsidRPr="00BC434D">
        <w:rPr>
          <w:rFonts w:asciiTheme="majorBidi" w:hAnsiTheme="majorBidi" w:cstheme="majorBidi"/>
          <w:sz w:val="24"/>
          <w:szCs w:val="24"/>
          <w:lang w:val="en-GB"/>
        </w:rPr>
        <w:t>nor</w:t>
      </w:r>
      <w:r w:rsidRPr="00BC434D">
        <w:rPr>
          <w:rFonts w:asciiTheme="majorBidi" w:hAnsiTheme="majorBidi" w:cstheme="majorBidi"/>
          <w:sz w:val="24"/>
          <w:szCs w:val="24"/>
          <w:lang w:val="en-GB"/>
        </w:rPr>
        <w:t xml:space="preserve"> </w:t>
      </w:r>
      <w:r w:rsidR="00A25643" w:rsidRPr="00BC434D">
        <w:rPr>
          <w:rFonts w:asciiTheme="majorBidi" w:hAnsiTheme="majorBidi" w:cstheme="majorBidi"/>
          <w:sz w:val="24"/>
          <w:szCs w:val="24"/>
          <w:lang w:val="en-GB"/>
        </w:rPr>
        <w:t>exclude</w:t>
      </w:r>
      <w:r w:rsidR="008C05F0" w:rsidRPr="00BC434D">
        <w:rPr>
          <w:rFonts w:asciiTheme="majorBidi" w:hAnsiTheme="majorBidi" w:cstheme="majorBidi"/>
          <w:sz w:val="24"/>
          <w:szCs w:val="24"/>
          <w:lang w:val="en-GB"/>
        </w:rPr>
        <w:t xml:space="preserve">s the factor of </w:t>
      </w:r>
      <w:r w:rsidR="001717DA"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unfair contractual provisions</w:t>
      </w:r>
      <w:r w:rsidR="001717DA" w:rsidRPr="00BC434D">
        <w:rPr>
          <w:rFonts w:asciiTheme="majorBidi" w:hAnsiTheme="majorBidi" w:cstheme="majorBidi"/>
          <w:sz w:val="24"/>
          <w:szCs w:val="24"/>
          <w:lang w:val="en-GB"/>
        </w:rPr>
        <w:t>”</w:t>
      </w:r>
      <w:r w:rsidR="00464E91" w:rsidRPr="00BC434D">
        <w:rPr>
          <w:rStyle w:val="FootnoteReference"/>
          <w:rFonts w:asciiTheme="majorBidi" w:hAnsiTheme="majorBidi" w:cstheme="majorBidi"/>
          <w:sz w:val="24"/>
          <w:szCs w:val="24"/>
          <w:lang w:val="en-GB"/>
        </w:rPr>
        <w:footnoteReference w:id="30"/>
      </w:r>
      <w:r w:rsidR="00FD4812" w:rsidRPr="00BC434D">
        <w:rPr>
          <w:rFonts w:asciiTheme="majorBidi" w:hAnsiTheme="majorBidi" w:cstheme="majorBidi"/>
          <w:sz w:val="24"/>
          <w:szCs w:val="24"/>
          <w:lang w:val="en-GB"/>
        </w:rPr>
        <w:t>, but only partially models the inheritance process with respect to some of its components, actually expanding freedom of testation to the application on the data,</w:t>
      </w:r>
      <w:r w:rsidR="00243990" w:rsidRPr="00BC434D">
        <w:rPr>
          <w:rFonts w:asciiTheme="majorBidi" w:hAnsiTheme="majorBidi" w:cstheme="majorBidi"/>
          <w:sz w:val="24"/>
          <w:szCs w:val="24"/>
          <w:lang w:val="en-GB"/>
        </w:rPr>
        <w:t xml:space="preserve"> </w:t>
      </w:r>
      <w:r w:rsidR="00413CF2" w:rsidRPr="00BC434D">
        <w:rPr>
          <w:rFonts w:asciiTheme="majorBidi" w:hAnsiTheme="majorBidi" w:cstheme="majorBidi"/>
          <w:sz w:val="24"/>
          <w:szCs w:val="24"/>
          <w:lang w:val="en-GB"/>
        </w:rPr>
        <w:t>but</w:t>
      </w:r>
      <w:r w:rsidR="00FD4812" w:rsidRPr="00BC434D">
        <w:rPr>
          <w:rFonts w:asciiTheme="majorBidi" w:hAnsiTheme="majorBidi" w:cstheme="majorBidi"/>
          <w:sz w:val="24"/>
          <w:szCs w:val="24"/>
          <w:lang w:val="en-GB"/>
        </w:rPr>
        <w:t xml:space="preserve"> not directly</w:t>
      </w:r>
      <w:r w:rsidR="00413CF2" w:rsidRPr="00BC434D">
        <w:rPr>
          <w:rFonts w:asciiTheme="majorBidi" w:hAnsiTheme="majorBidi" w:cstheme="majorBidi"/>
          <w:sz w:val="24"/>
          <w:szCs w:val="24"/>
          <w:lang w:val="en-GB"/>
        </w:rPr>
        <w:t xml:space="preserve"> </w:t>
      </w:r>
      <w:r w:rsidR="008C05F0" w:rsidRPr="00BC434D">
        <w:rPr>
          <w:rFonts w:asciiTheme="majorBidi" w:hAnsiTheme="majorBidi" w:cstheme="majorBidi"/>
          <w:sz w:val="24"/>
          <w:szCs w:val="24"/>
          <w:lang w:val="en-GB"/>
        </w:rPr>
        <w:t xml:space="preserve">to </w:t>
      </w:r>
      <w:r w:rsidR="00413CF2" w:rsidRPr="00BC434D">
        <w:rPr>
          <w:rFonts w:asciiTheme="majorBidi" w:hAnsiTheme="majorBidi" w:cstheme="majorBidi"/>
          <w:sz w:val="24"/>
          <w:szCs w:val="24"/>
          <w:lang w:val="en-GB"/>
        </w:rPr>
        <w:t>the</w:t>
      </w:r>
      <w:r w:rsidR="00FD4812" w:rsidRPr="00BC434D">
        <w:rPr>
          <w:rFonts w:asciiTheme="majorBidi" w:hAnsiTheme="majorBidi" w:cstheme="majorBidi"/>
          <w:sz w:val="24"/>
          <w:szCs w:val="24"/>
          <w:lang w:val="en-GB"/>
        </w:rPr>
        <w:t xml:space="preserve"> control </w:t>
      </w:r>
      <w:r w:rsidR="00413CF2" w:rsidRPr="00BC434D">
        <w:rPr>
          <w:rFonts w:asciiTheme="majorBidi" w:hAnsiTheme="majorBidi" w:cstheme="majorBidi"/>
          <w:sz w:val="24"/>
          <w:szCs w:val="24"/>
          <w:lang w:val="en-GB"/>
        </w:rPr>
        <w:t xml:space="preserve">of </w:t>
      </w:r>
      <w:r w:rsidR="00FD4812" w:rsidRPr="00BC434D">
        <w:rPr>
          <w:rFonts w:asciiTheme="majorBidi" w:hAnsiTheme="majorBidi" w:cstheme="majorBidi"/>
          <w:sz w:val="24"/>
          <w:szCs w:val="24"/>
          <w:lang w:val="en-GB"/>
        </w:rPr>
        <w:t>the</w:t>
      </w:r>
      <w:r w:rsidR="008C05F0" w:rsidRPr="00BC434D">
        <w:rPr>
          <w:rFonts w:asciiTheme="majorBidi" w:hAnsiTheme="majorBidi" w:cstheme="majorBidi"/>
          <w:sz w:val="24"/>
          <w:szCs w:val="24"/>
          <w:lang w:val="en-GB"/>
        </w:rPr>
        <w:t xml:space="preserve"> eco</w:t>
      </w:r>
      <w:r w:rsidR="00A22C6B" w:rsidRPr="00BC434D">
        <w:rPr>
          <w:rFonts w:asciiTheme="majorBidi" w:hAnsiTheme="majorBidi" w:cstheme="majorBidi"/>
          <w:sz w:val="24"/>
          <w:szCs w:val="24"/>
          <w:lang w:val="en-GB"/>
        </w:rPr>
        <w:t>nomic-related aspects</w:t>
      </w:r>
      <w:r w:rsidR="00FD4812" w:rsidRPr="00BC434D">
        <w:rPr>
          <w:rFonts w:asciiTheme="majorBidi" w:hAnsiTheme="majorBidi" w:cstheme="majorBidi"/>
          <w:sz w:val="24"/>
          <w:szCs w:val="24"/>
          <w:lang w:val="en-GB"/>
        </w:rPr>
        <w:t xml:space="preserve"> </w:t>
      </w:r>
      <w:r w:rsidR="00A22C6B" w:rsidRPr="00BC434D">
        <w:rPr>
          <w:rFonts w:asciiTheme="majorBidi" w:hAnsiTheme="majorBidi" w:cstheme="majorBidi"/>
          <w:sz w:val="24"/>
          <w:szCs w:val="24"/>
          <w:lang w:val="en-GB"/>
        </w:rPr>
        <w:t>of the data</w:t>
      </w:r>
      <w:r w:rsidR="00FD4812" w:rsidRPr="00BC434D">
        <w:rPr>
          <w:rFonts w:asciiTheme="majorBidi" w:hAnsiTheme="majorBidi" w:cstheme="majorBidi"/>
          <w:sz w:val="24"/>
          <w:szCs w:val="24"/>
          <w:lang w:val="en-GB"/>
        </w:rPr>
        <w:t xml:space="preserve">. It would seem that such an approach can be called consensual from the point of view of the balance of the right of inheritance, the practical and economic interests of the successor and informational self-determination, but despite both the standard contractual conditions, which were </w:t>
      </w:r>
      <w:r w:rsidR="0082671A" w:rsidRPr="00BC434D">
        <w:rPr>
          <w:rFonts w:asciiTheme="majorBidi" w:hAnsiTheme="majorBidi" w:cstheme="majorBidi"/>
          <w:sz w:val="24"/>
          <w:szCs w:val="24"/>
          <w:lang w:val="en-GB"/>
        </w:rPr>
        <w:t>recognised</w:t>
      </w:r>
      <w:r w:rsidR="00FD4812" w:rsidRPr="00BC434D">
        <w:rPr>
          <w:rFonts w:asciiTheme="majorBidi" w:hAnsiTheme="majorBidi" w:cstheme="majorBidi"/>
          <w:sz w:val="24"/>
          <w:szCs w:val="24"/>
          <w:lang w:val="en-GB"/>
        </w:rPr>
        <w:t xml:space="preserve"> as insufficient to protect the will of the predecessor, as well as the possibility of the will to be expressed within the framework of the legislative decree, inheritance and access to data according to universal </w:t>
      </w:r>
      <w:r w:rsidR="007837E7" w:rsidRPr="00BC434D">
        <w:rPr>
          <w:rFonts w:asciiTheme="majorBidi" w:hAnsiTheme="majorBidi" w:cstheme="majorBidi"/>
          <w:sz w:val="24"/>
          <w:szCs w:val="24"/>
          <w:lang w:val="en-GB"/>
        </w:rPr>
        <w:t>succession</w:t>
      </w:r>
      <w:r w:rsidR="00FD4812" w:rsidRPr="00BC434D">
        <w:rPr>
          <w:rFonts w:asciiTheme="majorBidi" w:hAnsiTheme="majorBidi" w:cstheme="majorBidi"/>
          <w:sz w:val="24"/>
          <w:szCs w:val="24"/>
          <w:lang w:val="en-GB"/>
        </w:rPr>
        <w:t xml:space="preserve"> remains the default position.</w:t>
      </w:r>
    </w:p>
    <w:p w14:paraId="4E9403FF" w14:textId="77777777" w:rsidR="00FD4812" w:rsidRPr="00BC434D" w:rsidRDefault="00FD4812"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This pattern is clearly observed in the court case Tribunale Ordinario di Milano, N. R.G. 2020/44578, which can also give us a general idea of the practical side of the procedure for establishing the will of the legal predecessor.</w:t>
      </w:r>
    </w:p>
    <w:p w14:paraId="78EEBB3A" w14:textId="5B74E821" w:rsidR="007837E7" w:rsidRPr="00BC434D" w:rsidRDefault="007837E7"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lastRenderedPageBreak/>
        <w:t>Tribunale Ordinario di Milano, N.R.G. 2020/44578 concerned the request of the deceased man</w:t>
      </w:r>
      <w:r w:rsidR="00810E36">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s parents for access to his Apple account to store photos and information from there to </w:t>
      </w:r>
      <w:r w:rsidR="001717DA"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make it easier to cope with the loss</w:t>
      </w:r>
      <w:r w:rsidR="001717DA"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 Counting this as a valid reason, </w:t>
      </w:r>
      <w:r w:rsidR="002E1839" w:rsidRPr="00BC434D">
        <w:rPr>
          <w:rFonts w:asciiTheme="majorBidi" w:hAnsiTheme="majorBidi" w:cstheme="majorBidi"/>
          <w:sz w:val="24"/>
          <w:szCs w:val="24"/>
          <w:lang w:val="en-GB"/>
        </w:rPr>
        <w:t xml:space="preserve">after dismissing </w:t>
      </w:r>
      <w:r w:rsidRPr="00BC434D">
        <w:rPr>
          <w:rFonts w:asciiTheme="majorBidi" w:hAnsiTheme="majorBidi" w:cstheme="majorBidi"/>
          <w:sz w:val="24"/>
          <w:szCs w:val="24"/>
          <w:lang w:val="en-GB"/>
        </w:rPr>
        <w:t>the non-transferability clause</w:t>
      </w:r>
      <w:r w:rsidR="002E1839" w:rsidRPr="00BC434D">
        <w:rPr>
          <w:rFonts w:asciiTheme="majorBidi" w:hAnsiTheme="majorBidi" w:cstheme="majorBidi"/>
          <w:sz w:val="24"/>
          <w:szCs w:val="24"/>
          <w:lang w:val="en-GB"/>
        </w:rPr>
        <w:t>-related counterclaims</w:t>
      </w:r>
      <w:r w:rsidRPr="00BC434D">
        <w:rPr>
          <w:rFonts w:asciiTheme="majorBidi" w:hAnsiTheme="majorBidi" w:cstheme="majorBidi"/>
          <w:sz w:val="24"/>
          <w:szCs w:val="24"/>
          <w:lang w:val="en-GB"/>
        </w:rPr>
        <w:t>, the court proceeded to a practical consideration of the will or lack of will regarding providing access to the deceased</w:t>
      </w:r>
      <w:r w:rsidR="00810E36">
        <w:rPr>
          <w:rFonts w:asciiTheme="majorBidi" w:hAnsiTheme="majorBidi" w:cstheme="majorBidi"/>
          <w:sz w:val="24"/>
          <w:szCs w:val="24"/>
          <w:lang w:val="en-GB"/>
        </w:rPr>
        <w:t>’</w:t>
      </w:r>
      <w:r w:rsidRPr="00BC434D">
        <w:rPr>
          <w:rFonts w:asciiTheme="majorBidi" w:hAnsiTheme="majorBidi" w:cstheme="majorBidi"/>
          <w:sz w:val="24"/>
          <w:szCs w:val="24"/>
          <w:lang w:val="en-GB"/>
        </w:rPr>
        <w:t>s information:</w:t>
      </w:r>
    </w:p>
    <w:p w14:paraId="206B5FBB" w14:textId="324F3A86" w:rsidR="00A745CC" w:rsidRPr="00BC434D" w:rsidRDefault="00044935"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w:t>
      </w:r>
      <w:r w:rsidR="00A745CC" w:rsidRPr="00BC434D">
        <w:rPr>
          <w:rFonts w:asciiTheme="majorBidi" w:hAnsiTheme="majorBidi" w:cstheme="majorBidi"/>
          <w:sz w:val="24"/>
          <w:szCs w:val="24"/>
          <w:lang w:val="en-GB"/>
        </w:rPr>
        <w:t>From the correspondence between the appellants and the respondent company</w:t>
      </w:r>
      <w:r w:rsidR="00421FBA" w:rsidRPr="00BC434D">
        <w:rPr>
          <w:rFonts w:asciiTheme="majorBidi" w:hAnsiTheme="majorBidi" w:cstheme="majorBidi"/>
          <w:sz w:val="24"/>
          <w:szCs w:val="24"/>
          <w:lang w:val="en-GB"/>
        </w:rPr>
        <w:t>,</w:t>
      </w:r>
      <w:r w:rsidR="00A745CC" w:rsidRPr="00BC434D">
        <w:rPr>
          <w:rFonts w:asciiTheme="majorBidi" w:hAnsiTheme="majorBidi" w:cstheme="majorBidi"/>
          <w:sz w:val="24"/>
          <w:szCs w:val="24"/>
          <w:lang w:val="en-GB"/>
        </w:rPr>
        <w:t xml:space="preserve"> it emerges clearly </w:t>
      </w:r>
      <w:r w:rsidR="00A5393A" w:rsidRPr="00BC434D">
        <w:rPr>
          <w:rFonts w:asciiTheme="majorBidi" w:hAnsiTheme="majorBidi" w:cstheme="majorBidi"/>
          <w:sz w:val="24"/>
          <w:szCs w:val="24"/>
          <w:lang w:val="en-GB"/>
        </w:rPr>
        <w:t>that</w:t>
      </w:r>
      <w:r w:rsidR="00A745CC" w:rsidRPr="00BC434D">
        <w:rPr>
          <w:rFonts w:asciiTheme="majorBidi" w:hAnsiTheme="majorBidi" w:cstheme="majorBidi"/>
          <w:sz w:val="24"/>
          <w:szCs w:val="24"/>
          <w:lang w:val="en-GB"/>
        </w:rPr>
        <w:t xml:space="preserve"> Mr. XX has not expressly prohibited the exercise of the rights connected to his post-mortem personal data</w:t>
      </w:r>
      <w:r w:rsidRPr="00BC434D">
        <w:rPr>
          <w:rFonts w:asciiTheme="majorBidi" w:hAnsiTheme="majorBidi" w:cstheme="majorBidi"/>
          <w:sz w:val="24"/>
          <w:szCs w:val="24"/>
          <w:lang w:val="en-GB"/>
        </w:rPr>
        <w:t>…»</w:t>
      </w:r>
      <w:r w:rsidRPr="00BC434D">
        <w:rPr>
          <w:rStyle w:val="FootnoteReference"/>
          <w:rFonts w:asciiTheme="majorBidi" w:hAnsiTheme="majorBidi" w:cstheme="majorBidi"/>
          <w:sz w:val="24"/>
          <w:szCs w:val="24"/>
          <w:lang w:val="en-GB"/>
        </w:rPr>
        <w:footnoteReference w:id="31"/>
      </w:r>
    </w:p>
    <w:p w14:paraId="12A4F988" w14:textId="614A40A5" w:rsidR="003C3E18" w:rsidRPr="00BC434D" w:rsidRDefault="003C3E18"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 xml:space="preserve">In general, comparing the Italian and German approaches from the point of view of posthumous privacy, the Italian one, despite the </w:t>
      </w:r>
      <w:r w:rsidR="00E92F08" w:rsidRPr="00BC434D">
        <w:rPr>
          <w:rFonts w:asciiTheme="majorBidi" w:hAnsiTheme="majorBidi" w:cstheme="majorBidi"/>
          <w:sz w:val="24"/>
          <w:szCs w:val="24"/>
          <w:lang w:val="en-GB"/>
        </w:rPr>
        <w:t>apparent</w:t>
      </w:r>
      <w:r w:rsidRPr="00BC434D">
        <w:rPr>
          <w:rFonts w:asciiTheme="majorBidi" w:hAnsiTheme="majorBidi" w:cstheme="majorBidi"/>
          <w:sz w:val="24"/>
          <w:szCs w:val="24"/>
          <w:lang w:val="en-GB"/>
        </w:rPr>
        <w:t xml:space="preserve"> shortcomings, can be considered more beneficial for posthumous privacy, since, unlike the German one, </w:t>
      </w:r>
      <w:r w:rsidR="00421FBA" w:rsidRPr="00BC434D">
        <w:rPr>
          <w:rFonts w:asciiTheme="majorBidi" w:hAnsiTheme="majorBidi" w:cstheme="majorBidi"/>
          <w:sz w:val="24"/>
          <w:szCs w:val="24"/>
          <w:lang w:val="en-GB"/>
        </w:rPr>
        <w:t>it</w:t>
      </w:r>
      <w:r w:rsidRPr="00BC434D">
        <w:rPr>
          <w:rFonts w:asciiTheme="majorBidi" w:hAnsiTheme="majorBidi" w:cstheme="majorBidi"/>
          <w:sz w:val="24"/>
          <w:szCs w:val="24"/>
          <w:lang w:val="en-GB"/>
        </w:rPr>
        <w:t xml:space="preserve"> developed the primary mechanisms for its regulation, thus still incorporating into legislation and developing the adjustment mechanism</w:t>
      </w:r>
      <w:r w:rsidR="00020006" w:rsidRPr="00BC434D">
        <w:rPr>
          <w:rFonts w:asciiTheme="majorBidi" w:hAnsiTheme="majorBidi" w:cstheme="majorBidi"/>
          <w:sz w:val="24"/>
          <w:szCs w:val="24"/>
          <w:lang w:val="en-GB"/>
        </w:rPr>
        <w:t>, even if not a perfect one.</w:t>
      </w:r>
      <w:r w:rsidRPr="00BC434D">
        <w:rPr>
          <w:rFonts w:asciiTheme="majorBidi" w:hAnsiTheme="majorBidi" w:cstheme="majorBidi"/>
          <w:sz w:val="24"/>
          <w:szCs w:val="24"/>
          <w:lang w:val="en-GB"/>
        </w:rPr>
        <w:t xml:space="preserve"> The identity of the approach with the principles and characteristics of what we understand as post</w:t>
      </w:r>
      <w:r w:rsidR="006B321C"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mortem privacy is also evident. Italian law refer</w:t>
      </w:r>
      <w:r w:rsidR="00236554" w:rsidRPr="00BC434D">
        <w:rPr>
          <w:rFonts w:asciiTheme="majorBidi" w:hAnsiTheme="majorBidi" w:cstheme="majorBidi"/>
          <w:sz w:val="24"/>
          <w:szCs w:val="24"/>
          <w:lang w:val="en-GB"/>
        </w:rPr>
        <w:t>s</w:t>
      </w:r>
      <w:r w:rsidRPr="00BC434D">
        <w:rPr>
          <w:rFonts w:asciiTheme="majorBidi" w:hAnsiTheme="majorBidi" w:cstheme="majorBidi"/>
          <w:sz w:val="24"/>
          <w:szCs w:val="24"/>
          <w:lang w:val="en-GB"/>
        </w:rPr>
        <w:t xml:space="preserve"> to the potential intentions of the</w:t>
      </w:r>
      <w:r w:rsidR="00236554" w:rsidRPr="00BC434D">
        <w:rPr>
          <w:rFonts w:asciiTheme="majorBidi" w:hAnsiTheme="majorBidi" w:cstheme="majorBidi"/>
          <w:sz w:val="24"/>
          <w:szCs w:val="24"/>
          <w:lang w:val="en-GB"/>
        </w:rPr>
        <w:t xml:space="preserve"> </w:t>
      </w:r>
      <w:r w:rsidR="00C7751A" w:rsidRPr="00BC434D">
        <w:rPr>
          <w:rFonts w:asciiTheme="majorBidi" w:hAnsiTheme="majorBidi" w:cstheme="majorBidi"/>
          <w:sz w:val="24"/>
          <w:szCs w:val="24"/>
          <w:lang w:val="en-GB"/>
        </w:rPr>
        <w:t>predecessor-</w:t>
      </w:r>
      <w:r w:rsidR="00236554" w:rsidRPr="00BC434D">
        <w:rPr>
          <w:rFonts w:asciiTheme="majorBidi" w:hAnsiTheme="majorBidi" w:cstheme="majorBidi"/>
          <w:sz w:val="24"/>
          <w:szCs w:val="24"/>
          <w:lang w:val="en-GB"/>
        </w:rPr>
        <w:t>data subjec</w:t>
      </w:r>
      <w:r w:rsidR="00C7751A" w:rsidRPr="00BC434D">
        <w:rPr>
          <w:rFonts w:asciiTheme="majorBidi" w:hAnsiTheme="majorBidi" w:cstheme="majorBidi"/>
          <w:sz w:val="24"/>
          <w:szCs w:val="24"/>
          <w:lang w:val="en-GB"/>
        </w:rPr>
        <w:t>t</w:t>
      </w:r>
      <w:r w:rsidRPr="00BC434D">
        <w:rPr>
          <w:rFonts w:asciiTheme="majorBidi" w:hAnsiTheme="majorBidi" w:cstheme="majorBidi"/>
          <w:sz w:val="24"/>
          <w:szCs w:val="24"/>
          <w:lang w:val="en-GB"/>
        </w:rPr>
        <w:t xml:space="preserve"> of the information as a </w:t>
      </w:r>
      <w:r w:rsidR="00C7751A" w:rsidRPr="00BC434D">
        <w:rPr>
          <w:rFonts w:asciiTheme="majorBidi" w:hAnsiTheme="majorBidi" w:cstheme="majorBidi"/>
          <w:sz w:val="24"/>
          <w:szCs w:val="24"/>
          <w:lang w:val="en-GB"/>
        </w:rPr>
        <w:t>reasonable</w:t>
      </w:r>
      <w:r w:rsidRPr="00BC434D">
        <w:rPr>
          <w:rFonts w:asciiTheme="majorBidi" w:hAnsiTheme="majorBidi" w:cstheme="majorBidi"/>
          <w:sz w:val="24"/>
          <w:szCs w:val="24"/>
          <w:lang w:val="en-GB"/>
        </w:rPr>
        <w:t xml:space="preserve"> person to determine its application, </w:t>
      </w:r>
      <w:r w:rsidR="00E92F08" w:rsidRPr="00BC434D">
        <w:rPr>
          <w:rFonts w:asciiTheme="majorBidi" w:hAnsiTheme="majorBidi" w:cstheme="majorBidi"/>
          <w:sz w:val="24"/>
          <w:szCs w:val="24"/>
          <w:lang w:val="en-GB"/>
        </w:rPr>
        <w:t>emphasising</w:t>
      </w:r>
      <w:r w:rsidRPr="00BC434D">
        <w:rPr>
          <w:rFonts w:asciiTheme="majorBidi" w:hAnsiTheme="majorBidi" w:cstheme="majorBidi"/>
          <w:sz w:val="24"/>
          <w:szCs w:val="24"/>
          <w:lang w:val="en-GB"/>
        </w:rPr>
        <w:t xml:space="preserve"> the connection with concepts such as identity, individual autonomy</w:t>
      </w:r>
      <w:r w:rsidR="00EE4527"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 and dignity, implying that these things are valid and relevant even after </w:t>
      </w:r>
      <w:r w:rsidR="005D4511" w:rsidRPr="00BC434D">
        <w:rPr>
          <w:rFonts w:asciiTheme="majorBidi" w:hAnsiTheme="majorBidi" w:cstheme="majorBidi"/>
          <w:sz w:val="24"/>
          <w:szCs w:val="24"/>
          <w:lang w:val="en-GB"/>
        </w:rPr>
        <w:t xml:space="preserve">the </w:t>
      </w:r>
      <w:r w:rsidRPr="00BC434D">
        <w:rPr>
          <w:rFonts w:asciiTheme="majorBidi" w:hAnsiTheme="majorBidi" w:cstheme="majorBidi"/>
          <w:sz w:val="24"/>
          <w:szCs w:val="24"/>
          <w:lang w:val="en-GB"/>
        </w:rPr>
        <w:t xml:space="preserve">death </w:t>
      </w:r>
      <w:r w:rsidR="00C7751A" w:rsidRPr="00BC434D">
        <w:rPr>
          <w:rFonts w:asciiTheme="majorBidi" w:hAnsiTheme="majorBidi" w:cstheme="majorBidi"/>
          <w:sz w:val="24"/>
          <w:szCs w:val="24"/>
          <w:lang w:val="en-GB"/>
        </w:rPr>
        <w:t xml:space="preserve">of </w:t>
      </w:r>
      <w:r w:rsidRPr="00BC434D">
        <w:rPr>
          <w:rFonts w:asciiTheme="majorBidi" w:hAnsiTheme="majorBidi" w:cstheme="majorBidi"/>
          <w:sz w:val="24"/>
          <w:szCs w:val="24"/>
          <w:lang w:val="en-GB"/>
        </w:rPr>
        <w:t>an individual</w:t>
      </w:r>
      <w:r w:rsidR="005D4511" w:rsidRPr="00BC434D">
        <w:rPr>
          <w:rFonts w:asciiTheme="majorBidi" w:hAnsiTheme="majorBidi" w:cstheme="majorBidi"/>
          <w:sz w:val="24"/>
          <w:szCs w:val="24"/>
          <w:lang w:val="en-GB"/>
        </w:rPr>
        <w:t>.</w:t>
      </w:r>
      <w:r w:rsidR="005D4511" w:rsidRPr="00BC434D">
        <w:rPr>
          <w:rStyle w:val="FootnoteReference"/>
          <w:rFonts w:asciiTheme="majorBidi" w:hAnsiTheme="majorBidi" w:cstheme="majorBidi"/>
          <w:sz w:val="24"/>
          <w:szCs w:val="24"/>
          <w:lang w:val="en-GB"/>
        </w:rPr>
        <w:footnoteReference w:id="32"/>
      </w:r>
    </w:p>
    <w:p w14:paraId="5860263E" w14:textId="0935D9B5" w:rsidR="003A25F7" w:rsidRPr="00BC434D" w:rsidRDefault="002E26F4" w:rsidP="00D848BE">
      <w:pPr>
        <w:pStyle w:val="Heading2"/>
        <w:numPr>
          <w:ilvl w:val="1"/>
          <w:numId w:val="18"/>
        </w:numPr>
        <w:spacing w:line="276" w:lineRule="auto"/>
        <w:rPr>
          <w:rFonts w:asciiTheme="majorBidi" w:hAnsiTheme="majorBidi"/>
          <w:b/>
          <w:bCs/>
          <w:i/>
          <w:iCs/>
          <w:color w:val="auto"/>
          <w:sz w:val="24"/>
          <w:szCs w:val="24"/>
          <w:lang w:val="en-GB"/>
        </w:rPr>
      </w:pPr>
      <w:r w:rsidRPr="00BC434D">
        <w:rPr>
          <w:rFonts w:asciiTheme="majorBidi" w:hAnsiTheme="majorBidi"/>
          <w:b/>
          <w:bCs/>
          <w:i/>
          <w:iCs/>
          <w:color w:val="auto"/>
          <w:sz w:val="24"/>
          <w:szCs w:val="24"/>
          <w:lang w:val="en-GB"/>
        </w:rPr>
        <w:t>France</w:t>
      </w:r>
      <w:r w:rsidR="00663DD5" w:rsidRPr="00BC434D">
        <w:rPr>
          <w:rFonts w:asciiTheme="majorBidi" w:hAnsiTheme="majorBidi"/>
          <w:b/>
          <w:bCs/>
          <w:i/>
          <w:iCs/>
          <w:color w:val="auto"/>
          <w:sz w:val="24"/>
          <w:szCs w:val="24"/>
          <w:lang w:val="en-GB"/>
        </w:rPr>
        <w:br/>
      </w:r>
    </w:p>
    <w:p w14:paraId="752729D3" w14:textId="17A9E8AA" w:rsidR="00FC6948" w:rsidRPr="00BC434D" w:rsidRDefault="00FC6948"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The French model of protection of posthumous privacy incorporated on the basis of GDPR is considered one of the most complete and detailed in terms of many aspects</w:t>
      </w:r>
      <w:r w:rsidR="00B84656" w:rsidRPr="00BC434D">
        <w:rPr>
          <w:rFonts w:asciiTheme="majorBidi" w:hAnsiTheme="majorBidi" w:cstheme="majorBidi"/>
          <w:sz w:val="24"/>
          <w:szCs w:val="24"/>
          <w:lang w:val="en-GB"/>
        </w:rPr>
        <w:t xml:space="preserve">. </w:t>
      </w:r>
      <w:r w:rsidR="00727BE9" w:rsidRPr="00BC434D">
        <w:rPr>
          <w:rFonts w:asciiTheme="majorBidi" w:hAnsiTheme="majorBidi" w:cstheme="majorBidi"/>
          <w:sz w:val="24"/>
          <w:szCs w:val="24"/>
          <w:lang w:val="en-GB"/>
        </w:rPr>
        <w:t>What considerably differs it</w:t>
      </w:r>
      <w:r w:rsidRPr="00BC434D">
        <w:rPr>
          <w:rFonts w:asciiTheme="majorBidi" w:hAnsiTheme="majorBidi" w:cstheme="majorBidi"/>
          <w:sz w:val="24"/>
          <w:szCs w:val="24"/>
          <w:lang w:val="en-GB"/>
        </w:rPr>
        <w:t xml:space="preserve"> from previous examples </w:t>
      </w:r>
      <w:r w:rsidR="00727BE9" w:rsidRPr="00BC434D">
        <w:rPr>
          <w:rFonts w:asciiTheme="majorBidi" w:hAnsiTheme="majorBidi" w:cstheme="majorBidi"/>
          <w:sz w:val="24"/>
          <w:szCs w:val="24"/>
          <w:lang w:val="en-GB"/>
        </w:rPr>
        <w:t>is</w:t>
      </w:r>
      <w:r w:rsidRPr="00BC434D">
        <w:rPr>
          <w:rFonts w:asciiTheme="majorBidi" w:hAnsiTheme="majorBidi" w:cstheme="majorBidi"/>
          <w:sz w:val="24"/>
          <w:szCs w:val="24"/>
          <w:lang w:val="en-GB"/>
        </w:rPr>
        <w:t xml:space="preserve"> the possibility to leave precise instructions on the desired regulation of the posthumous dat</w:t>
      </w:r>
      <w:r w:rsidR="002D0327">
        <w:rPr>
          <w:rFonts w:asciiTheme="majorBidi" w:hAnsiTheme="majorBidi" w:cstheme="majorBidi"/>
          <w:sz w:val="24"/>
          <w:szCs w:val="24"/>
          <w:lang w:val="en-GB"/>
        </w:rPr>
        <w:t>a</w:t>
      </w:r>
      <w:r w:rsidRPr="00BC434D">
        <w:rPr>
          <w:rFonts w:asciiTheme="majorBidi" w:hAnsiTheme="majorBidi" w:cstheme="majorBidi"/>
          <w:sz w:val="24"/>
          <w:szCs w:val="24"/>
          <w:lang w:val="en-GB"/>
        </w:rPr>
        <w:t xml:space="preserve"> </w:t>
      </w:r>
      <w:r w:rsidR="00810E36">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 decrees under the responsibility of third parties certified directly by the CNIL</w:t>
      </w:r>
      <w:r w:rsidR="00727BE9" w:rsidRPr="00BC434D">
        <w:rPr>
          <w:rStyle w:val="FootnoteReference"/>
          <w:rFonts w:asciiTheme="majorBidi" w:hAnsiTheme="majorBidi" w:cstheme="majorBidi"/>
          <w:sz w:val="24"/>
          <w:szCs w:val="24"/>
          <w:lang w:val="en-GB"/>
        </w:rPr>
        <w:footnoteReference w:id="33"/>
      </w:r>
      <w:r w:rsidRPr="00BC434D">
        <w:rPr>
          <w:rFonts w:asciiTheme="majorBidi" w:hAnsiTheme="majorBidi" w:cstheme="majorBidi"/>
          <w:sz w:val="24"/>
          <w:szCs w:val="24"/>
          <w:lang w:val="en-GB"/>
        </w:rPr>
        <w:t>.</w:t>
      </w:r>
      <w:r w:rsidRPr="00BC434D">
        <w:rPr>
          <w:rStyle w:val="FootnoteReference"/>
          <w:rFonts w:asciiTheme="majorBidi" w:hAnsiTheme="majorBidi" w:cstheme="majorBidi"/>
          <w:sz w:val="24"/>
          <w:szCs w:val="24"/>
          <w:lang w:val="en-GB"/>
        </w:rPr>
        <w:footnoteReference w:id="34"/>
      </w:r>
      <w:r w:rsidRPr="00BC434D">
        <w:rPr>
          <w:rFonts w:asciiTheme="majorBidi" w:hAnsiTheme="majorBidi" w:cstheme="majorBidi"/>
          <w:sz w:val="24"/>
          <w:szCs w:val="24"/>
          <w:lang w:val="en-GB"/>
        </w:rPr>
        <w:t xml:space="preserve"> As in the previous two cases, the sole consent to the </w:t>
      </w:r>
      <w:r w:rsidR="00763E6C"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terms and conditions</w:t>
      </w:r>
      <w:r w:rsidR="001717DA"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 cannot be considered such an instruction, and</w:t>
      </w:r>
      <w:r w:rsidR="003A25F7"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 accordingly</w:t>
      </w:r>
      <w:r w:rsidR="00C6732E"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 cannot affect the regulation of post</w:t>
      </w:r>
      <w:r w:rsidR="00763E6C"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mortem data as it does not contain explicit consent on which the decrees are based, however, as in the Italian example, specific instructions left through direct personal communication with the controller may be such a legal basis.</w:t>
      </w:r>
      <w:r w:rsidR="007A6095" w:rsidRPr="00BC434D">
        <w:rPr>
          <w:rStyle w:val="FootnoteReference"/>
          <w:rFonts w:asciiTheme="majorBidi" w:hAnsiTheme="majorBidi" w:cstheme="majorBidi"/>
          <w:sz w:val="24"/>
          <w:szCs w:val="24"/>
          <w:lang w:val="en-GB"/>
        </w:rPr>
        <w:footnoteReference w:id="35"/>
      </w:r>
    </w:p>
    <w:p w14:paraId="779D43BE" w14:textId="6D021F88" w:rsidR="000D7EDD" w:rsidRPr="00BC434D" w:rsidRDefault="000D7EDD"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lastRenderedPageBreak/>
        <w:t xml:space="preserve">A </w:t>
      </w:r>
      <w:r w:rsidR="008052B0" w:rsidRPr="00BC434D">
        <w:rPr>
          <w:rFonts w:asciiTheme="majorBidi" w:hAnsiTheme="majorBidi" w:cstheme="majorBidi"/>
          <w:sz w:val="24"/>
          <w:szCs w:val="24"/>
          <w:lang w:val="en-GB"/>
        </w:rPr>
        <w:t>particular</w:t>
      </w:r>
      <w:r w:rsidRPr="00BC434D">
        <w:rPr>
          <w:rFonts w:asciiTheme="majorBidi" w:hAnsiTheme="majorBidi" w:cstheme="majorBidi"/>
          <w:sz w:val="24"/>
          <w:szCs w:val="24"/>
          <w:lang w:val="en-GB"/>
        </w:rPr>
        <w:t xml:space="preserve"> person can be appointed to activate the execution of left decrees. The law clearly states that if a person was not appointed, or died before being able to </w:t>
      </w:r>
      <w:r w:rsidR="00CE61C8" w:rsidRPr="00BC434D">
        <w:rPr>
          <w:rFonts w:asciiTheme="majorBidi" w:hAnsiTheme="majorBidi" w:cstheme="majorBidi"/>
          <w:sz w:val="24"/>
          <w:szCs w:val="24"/>
          <w:lang w:val="en-GB"/>
        </w:rPr>
        <w:t>fulfil</w:t>
      </w:r>
      <w:r w:rsidRPr="00BC434D">
        <w:rPr>
          <w:rFonts w:asciiTheme="majorBidi" w:hAnsiTheme="majorBidi" w:cstheme="majorBidi"/>
          <w:sz w:val="24"/>
          <w:szCs w:val="24"/>
          <w:lang w:val="en-GB"/>
        </w:rPr>
        <w:t xml:space="preserve"> his obligations, the decrees can also be activated by the heirs.</w:t>
      </w:r>
      <w:r w:rsidRPr="00BC434D">
        <w:rPr>
          <w:rStyle w:val="FootnoteReference"/>
          <w:rFonts w:asciiTheme="majorBidi" w:hAnsiTheme="majorBidi" w:cstheme="majorBidi"/>
          <w:sz w:val="24"/>
          <w:szCs w:val="24"/>
          <w:lang w:val="en-GB"/>
        </w:rPr>
        <w:footnoteReference w:id="36"/>
      </w:r>
    </w:p>
    <w:p w14:paraId="2601F957" w14:textId="0BF72009" w:rsidR="00827EE1" w:rsidRPr="00BC434D" w:rsidRDefault="00A6047B"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 xml:space="preserve">A key factor and a significant feature of the French approach is the actual division of rights related to digital assets into economic rights related to digital goods and personal ones, where the legal predecessor, that is, the deceased, has the right to regulate both the first and the second, and where the second always prevails over the first, which is </w:t>
      </w:r>
      <w:r w:rsidR="001717DA"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actually an absolute form of posthumous privacy</w:t>
      </w:r>
      <w:r w:rsidR="001717DA" w:rsidRPr="00BC434D">
        <w:rPr>
          <w:rFonts w:asciiTheme="majorBidi" w:hAnsiTheme="majorBidi" w:cstheme="majorBidi"/>
          <w:sz w:val="24"/>
          <w:szCs w:val="24"/>
          <w:lang w:val="en-GB"/>
        </w:rPr>
        <w:t>”</w:t>
      </w:r>
      <w:r w:rsidR="00764FCB" w:rsidRPr="00BC434D">
        <w:rPr>
          <w:rFonts w:asciiTheme="majorBidi" w:hAnsiTheme="majorBidi" w:cstheme="majorBidi"/>
          <w:sz w:val="24"/>
          <w:szCs w:val="24"/>
          <w:lang w:val="en-GB"/>
        </w:rPr>
        <w:t>.</w:t>
      </w:r>
      <w:r w:rsidR="00764FCB" w:rsidRPr="00BC434D">
        <w:rPr>
          <w:rStyle w:val="FootnoteReference"/>
          <w:rFonts w:asciiTheme="majorBidi" w:hAnsiTheme="majorBidi" w:cstheme="majorBidi"/>
          <w:sz w:val="24"/>
          <w:szCs w:val="24"/>
          <w:lang w:val="en-GB"/>
        </w:rPr>
        <w:footnoteReference w:id="37"/>
      </w:r>
      <w:r w:rsidR="005A27B9" w:rsidRPr="00BC434D">
        <w:rPr>
          <w:rFonts w:asciiTheme="majorBidi" w:hAnsiTheme="majorBidi" w:cstheme="majorBidi"/>
          <w:sz w:val="24"/>
          <w:szCs w:val="24"/>
          <w:lang w:val="en-GB"/>
        </w:rPr>
        <w:t xml:space="preserve"> </w:t>
      </w:r>
    </w:p>
    <w:p w14:paraId="286BB9FD" w14:textId="7AEBBDB5" w:rsidR="00827EE1" w:rsidRPr="00BC434D" w:rsidRDefault="008F467B"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It would seem that the lack of division into economic and personal aspects of personality rights in approaches to the regulation of posthumous privacy in aforementioned Germany actually leads to the opposite result: personal</w:t>
      </w:r>
      <w:r w:rsidR="00827EE1" w:rsidRPr="00BC434D">
        <w:rPr>
          <w:rFonts w:asciiTheme="majorBidi" w:hAnsiTheme="majorBidi" w:cstheme="majorBidi"/>
          <w:sz w:val="24"/>
          <w:szCs w:val="24"/>
          <w:lang w:val="en-GB"/>
        </w:rPr>
        <w:t>ity</w:t>
      </w:r>
      <w:r w:rsidRPr="00BC434D">
        <w:rPr>
          <w:rFonts w:asciiTheme="majorBidi" w:hAnsiTheme="majorBidi" w:cstheme="majorBidi"/>
          <w:sz w:val="24"/>
          <w:szCs w:val="24"/>
          <w:lang w:val="en-GB"/>
        </w:rPr>
        <w:t xml:space="preserve"> rights are complementary to economic rights. But is it </w:t>
      </w:r>
      <w:r w:rsidR="004C679B" w:rsidRPr="00BC434D">
        <w:rPr>
          <w:rFonts w:asciiTheme="majorBidi" w:hAnsiTheme="majorBidi" w:cstheme="majorBidi"/>
          <w:sz w:val="24"/>
          <w:szCs w:val="24"/>
          <w:lang w:val="en-GB"/>
        </w:rPr>
        <w:t>actually,</w:t>
      </w:r>
      <w:r w:rsidR="00827EE1" w:rsidRPr="00BC434D">
        <w:rPr>
          <w:rFonts w:asciiTheme="majorBidi" w:hAnsiTheme="majorBidi" w:cstheme="majorBidi"/>
          <w:sz w:val="24"/>
          <w:szCs w:val="24"/>
          <w:lang w:val="en-GB"/>
        </w:rPr>
        <w:t xml:space="preserve"> correct</w:t>
      </w:r>
      <w:r w:rsidRPr="00BC434D">
        <w:rPr>
          <w:rFonts w:asciiTheme="majorBidi" w:hAnsiTheme="majorBidi" w:cstheme="majorBidi"/>
          <w:sz w:val="24"/>
          <w:szCs w:val="24"/>
          <w:lang w:val="en-GB"/>
        </w:rPr>
        <w:t xml:space="preserve">? </w:t>
      </w:r>
    </w:p>
    <w:p w14:paraId="0C89819E" w14:textId="06065534" w:rsidR="009105CE" w:rsidRPr="00BC434D" w:rsidRDefault="008F467B"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In fact, Germany considered the heritability of an account from the point of view of counterbalancing the rights to it within the framework of the contract, defining it as a legal basis covering all the assets in it, while the French classification and approach are based on the idea of judging b</w:t>
      </w:r>
      <w:r w:rsidR="003A7463" w:rsidRPr="00BC434D">
        <w:rPr>
          <w:rFonts w:asciiTheme="majorBidi" w:hAnsiTheme="majorBidi" w:cstheme="majorBidi"/>
          <w:sz w:val="24"/>
          <w:szCs w:val="24"/>
          <w:lang w:val="en-GB"/>
        </w:rPr>
        <w:t>y the</w:t>
      </w:r>
      <w:r w:rsidRPr="00BC434D">
        <w:rPr>
          <w:rFonts w:asciiTheme="majorBidi" w:hAnsiTheme="majorBidi" w:cstheme="majorBidi"/>
          <w:sz w:val="24"/>
          <w:szCs w:val="24"/>
          <w:lang w:val="en-GB"/>
        </w:rPr>
        <w:t xml:space="preserve"> content, not form: assets </w:t>
      </w:r>
      <w:r w:rsidR="007D7F3E" w:rsidRPr="00BC434D">
        <w:rPr>
          <w:rFonts w:asciiTheme="majorBidi" w:hAnsiTheme="majorBidi" w:cstheme="majorBidi"/>
          <w:sz w:val="24"/>
          <w:szCs w:val="24"/>
          <w:lang w:val="en-GB"/>
        </w:rPr>
        <w:t>from the</w:t>
      </w:r>
      <w:r w:rsidRPr="00BC434D">
        <w:rPr>
          <w:rFonts w:asciiTheme="majorBidi" w:hAnsiTheme="majorBidi" w:cstheme="majorBidi"/>
          <w:sz w:val="24"/>
          <w:szCs w:val="24"/>
          <w:lang w:val="en-GB"/>
        </w:rPr>
        <w:t xml:space="preserve"> account are formed under the influence of</w:t>
      </w:r>
      <w:r w:rsidR="003A7463" w:rsidRPr="00BC434D">
        <w:rPr>
          <w:rFonts w:asciiTheme="majorBidi" w:hAnsiTheme="majorBidi" w:cstheme="majorBidi"/>
          <w:sz w:val="24"/>
          <w:szCs w:val="24"/>
          <w:lang w:val="en-GB"/>
        </w:rPr>
        <w:t xml:space="preserve"> the</w:t>
      </w:r>
      <w:r w:rsidRPr="00BC434D">
        <w:rPr>
          <w:rFonts w:asciiTheme="majorBidi" w:hAnsiTheme="majorBidi" w:cstheme="majorBidi"/>
          <w:sz w:val="24"/>
          <w:szCs w:val="24"/>
          <w:lang w:val="en-GB"/>
        </w:rPr>
        <w:t xml:space="preserve"> personal</w:t>
      </w:r>
      <w:r w:rsidR="003A7463" w:rsidRPr="00BC434D">
        <w:rPr>
          <w:rFonts w:asciiTheme="majorBidi" w:hAnsiTheme="majorBidi" w:cstheme="majorBidi"/>
          <w:sz w:val="24"/>
          <w:szCs w:val="24"/>
          <w:lang w:val="en-GB"/>
        </w:rPr>
        <w:t>ity</w:t>
      </w:r>
      <w:r w:rsidRPr="00BC434D">
        <w:rPr>
          <w:rFonts w:asciiTheme="majorBidi" w:hAnsiTheme="majorBidi" w:cstheme="majorBidi"/>
          <w:sz w:val="24"/>
          <w:szCs w:val="24"/>
          <w:lang w:val="en-GB"/>
        </w:rPr>
        <w:t>-linked activity of the user and there</w:t>
      </w:r>
      <w:r w:rsidR="003A7463" w:rsidRPr="00BC434D">
        <w:rPr>
          <w:rFonts w:asciiTheme="majorBidi" w:hAnsiTheme="majorBidi" w:cstheme="majorBidi"/>
          <w:sz w:val="24"/>
          <w:szCs w:val="24"/>
          <w:lang w:val="en-GB"/>
        </w:rPr>
        <w:t>fore</w:t>
      </w:r>
      <w:r w:rsidRPr="00BC434D">
        <w:rPr>
          <w:rFonts w:asciiTheme="majorBidi" w:hAnsiTheme="majorBidi" w:cstheme="majorBidi"/>
          <w:sz w:val="24"/>
          <w:szCs w:val="24"/>
          <w:lang w:val="en-GB"/>
        </w:rPr>
        <w:t xml:space="preserve"> are personal</w:t>
      </w:r>
      <w:r w:rsidR="003A7463" w:rsidRPr="00BC434D">
        <w:rPr>
          <w:rFonts w:asciiTheme="majorBidi" w:hAnsiTheme="majorBidi" w:cstheme="majorBidi"/>
          <w:sz w:val="24"/>
          <w:szCs w:val="24"/>
          <w:lang w:val="en-GB"/>
        </w:rPr>
        <w:t>ity</w:t>
      </w:r>
      <w:r w:rsidRPr="00BC434D">
        <w:rPr>
          <w:rFonts w:asciiTheme="majorBidi" w:hAnsiTheme="majorBidi" w:cstheme="majorBidi"/>
          <w:sz w:val="24"/>
          <w:szCs w:val="24"/>
          <w:lang w:val="en-GB"/>
        </w:rPr>
        <w:t>-linked assets, freedom to testate regarding which is considered unlimited.</w:t>
      </w:r>
      <w:r w:rsidR="00941FCE" w:rsidRPr="00BC434D">
        <w:rPr>
          <w:rStyle w:val="FootnoteReference"/>
          <w:rFonts w:asciiTheme="majorBidi" w:hAnsiTheme="majorBidi" w:cstheme="majorBidi"/>
          <w:sz w:val="24"/>
          <w:szCs w:val="24"/>
          <w:lang w:val="en-GB"/>
        </w:rPr>
        <w:footnoteReference w:id="38"/>
      </w:r>
    </w:p>
    <w:p w14:paraId="0D5B02F9" w14:textId="2D56BABD" w:rsidR="003B3551" w:rsidRPr="00BC434D" w:rsidRDefault="003B3551"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In the German example, the court put forward the idea that the right to actively continue using the account as it was done by the legal predecessor is not included in the list of inherited rights, which theoretically can also be interpreted as a restriction made on the basis of the deeply personal nature of rights and obligations, for the conditions of which the presence of an individual is necessary, that is, a category of non-inherited rights. Based on this interpretation, the difference between the German and French approaches lies not in the</w:t>
      </w:r>
      <w:r w:rsidR="00810E36" w:rsidRPr="00BC434D">
        <w:rPr>
          <w:rFonts w:asciiTheme="majorBidi" w:hAnsiTheme="majorBidi" w:cstheme="majorBidi"/>
          <w:sz w:val="24"/>
          <w:szCs w:val="24"/>
          <w:lang w:val="en-GB"/>
        </w:rPr>
        <w:t xml:space="preserve"> </w:t>
      </w:r>
      <w:r w:rsidRPr="00BC434D">
        <w:rPr>
          <w:rFonts w:asciiTheme="majorBidi" w:hAnsiTheme="majorBidi" w:cstheme="majorBidi"/>
          <w:sz w:val="24"/>
          <w:szCs w:val="24"/>
          <w:lang w:val="en-GB"/>
        </w:rPr>
        <w:t>ideological difference of the principles and bases of legal acts concerning posthumous privacy, but in the classification of the type of assets.</w:t>
      </w:r>
    </w:p>
    <w:p w14:paraId="53EB273B" w14:textId="77777777" w:rsidR="0056291B" w:rsidRPr="00BC434D" w:rsidRDefault="0056291B" w:rsidP="00D848BE">
      <w:pPr>
        <w:spacing w:line="276" w:lineRule="auto"/>
        <w:rPr>
          <w:rFonts w:asciiTheme="majorBidi" w:hAnsiTheme="majorBidi" w:cstheme="majorBidi"/>
          <w:sz w:val="24"/>
          <w:szCs w:val="24"/>
          <w:lang w:val="en-GB"/>
        </w:rPr>
      </w:pPr>
    </w:p>
    <w:p w14:paraId="10C1CD14" w14:textId="7D9FF980" w:rsidR="00160362" w:rsidRPr="00BC434D" w:rsidRDefault="006A1F7C" w:rsidP="00D848BE">
      <w:pPr>
        <w:pStyle w:val="Heading1"/>
        <w:numPr>
          <w:ilvl w:val="0"/>
          <w:numId w:val="18"/>
        </w:numPr>
        <w:spacing w:line="276" w:lineRule="auto"/>
        <w:ind w:left="0"/>
        <w:rPr>
          <w:rFonts w:asciiTheme="majorBidi" w:hAnsiTheme="majorBidi"/>
          <w:b/>
          <w:bCs/>
          <w:color w:val="auto"/>
          <w:sz w:val="24"/>
          <w:szCs w:val="24"/>
          <w:lang w:val="en-GB"/>
        </w:rPr>
      </w:pPr>
      <w:r w:rsidRPr="00BC434D">
        <w:rPr>
          <w:rFonts w:asciiTheme="majorBidi" w:hAnsiTheme="majorBidi"/>
          <w:b/>
          <w:bCs/>
          <w:color w:val="auto"/>
          <w:sz w:val="24"/>
          <w:szCs w:val="24"/>
          <w:lang w:val="en-GB"/>
        </w:rPr>
        <w:t xml:space="preserve">Role of the </w:t>
      </w:r>
      <w:r w:rsidR="009942F0" w:rsidRPr="00BC434D">
        <w:rPr>
          <w:rFonts w:asciiTheme="majorBidi" w:hAnsiTheme="majorBidi"/>
          <w:b/>
          <w:bCs/>
          <w:color w:val="auto"/>
          <w:sz w:val="24"/>
          <w:szCs w:val="24"/>
          <w:lang w:val="en-GB"/>
        </w:rPr>
        <w:t>platform-provider</w:t>
      </w:r>
      <w:r w:rsidRPr="00BC434D">
        <w:rPr>
          <w:rFonts w:asciiTheme="majorBidi" w:hAnsiTheme="majorBidi"/>
          <w:b/>
          <w:bCs/>
          <w:color w:val="auto"/>
          <w:sz w:val="24"/>
          <w:szCs w:val="24"/>
          <w:lang w:val="en-GB"/>
        </w:rPr>
        <w:t xml:space="preserve"> </w:t>
      </w:r>
      <w:r w:rsidR="00F46A23" w:rsidRPr="00BC434D">
        <w:rPr>
          <w:rFonts w:asciiTheme="majorBidi" w:hAnsiTheme="majorBidi"/>
          <w:b/>
          <w:bCs/>
          <w:color w:val="auto"/>
          <w:sz w:val="24"/>
          <w:szCs w:val="24"/>
          <w:lang w:val="en-GB"/>
        </w:rPr>
        <w:t>providers’</w:t>
      </w:r>
      <w:r w:rsidRPr="00BC434D">
        <w:rPr>
          <w:rFonts w:asciiTheme="majorBidi" w:hAnsiTheme="majorBidi"/>
          <w:b/>
          <w:bCs/>
          <w:color w:val="auto"/>
          <w:sz w:val="24"/>
          <w:szCs w:val="24"/>
          <w:lang w:val="en-GB"/>
        </w:rPr>
        <w:t xml:space="preserve"> conduct and perspectives</w:t>
      </w:r>
      <w:r w:rsidR="00663DD5" w:rsidRPr="00BC434D">
        <w:rPr>
          <w:rFonts w:asciiTheme="majorBidi" w:hAnsiTheme="majorBidi"/>
          <w:b/>
          <w:bCs/>
          <w:color w:val="auto"/>
          <w:sz w:val="24"/>
          <w:szCs w:val="24"/>
          <w:lang w:val="en-GB"/>
        </w:rPr>
        <w:br/>
      </w:r>
    </w:p>
    <w:p w14:paraId="1B3CD2AF" w14:textId="07786952" w:rsidR="003C7064" w:rsidRPr="00BC434D" w:rsidRDefault="003C7064"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 xml:space="preserve">One of the most important links in matters of posthumous privacy and the transfer of digital assets equally to the legal regulator is the platform </w:t>
      </w:r>
      <w:r w:rsidR="0014515D" w:rsidRPr="00BC434D">
        <w:rPr>
          <w:rFonts w:asciiTheme="majorBidi" w:hAnsiTheme="majorBidi" w:cstheme="majorBidi"/>
          <w:sz w:val="24"/>
          <w:szCs w:val="24"/>
          <w:lang w:val="en-GB"/>
        </w:rPr>
        <w:t>service provider</w:t>
      </w:r>
      <w:r w:rsidRPr="00BC434D">
        <w:rPr>
          <w:rFonts w:asciiTheme="majorBidi" w:hAnsiTheme="majorBidi" w:cstheme="majorBidi"/>
          <w:sz w:val="24"/>
          <w:szCs w:val="24"/>
          <w:lang w:val="en-GB"/>
        </w:rPr>
        <w:t>. Platforms supplement the general rules on privacy and transfer of assets, by providing the instrumental framework for their application.</w:t>
      </w:r>
      <w:r w:rsidR="0014515D" w:rsidRPr="00BC434D">
        <w:rPr>
          <w:rStyle w:val="FootnoteReference"/>
          <w:rFonts w:asciiTheme="majorBidi" w:hAnsiTheme="majorBidi" w:cstheme="majorBidi"/>
          <w:sz w:val="24"/>
          <w:szCs w:val="24"/>
          <w:lang w:val="en-GB"/>
        </w:rPr>
        <w:footnoteReference w:id="39"/>
      </w:r>
      <w:r w:rsidRPr="00BC434D">
        <w:rPr>
          <w:rFonts w:asciiTheme="majorBidi" w:hAnsiTheme="majorBidi" w:cstheme="majorBidi"/>
          <w:sz w:val="24"/>
          <w:szCs w:val="24"/>
          <w:lang w:val="en-GB"/>
        </w:rPr>
        <w:t xml:space="preserve"> And as is clear from the standard GDPR application, while the classic law provides the answers to the question of persons liable, private-made rules of the platforms tackle the issue </w:t>
      </w:r>
      <w:r w:rsidR="0014515D" w:rsidRPr="00BC434D">
        <w:rPr>
          <w:rFonts w:asciiTheme="majorBidi" w:hAnsiTheme="majorBidi" w:cstheme="majorBidi"/>
          <w:sz w:val="24"/>
          <w:szCs w:val="24"/>
          <w:lang w:val="en-GB"/>
        </w:rPr>
        <w:t xml:space="preserve">of </w:t>
      </w:r>
      <w:r w:rsidR="009E67EB"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how</w:t>
      </w:r>
      <w:r w:rsidR="009E67EB"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 still constituting a large fraction of control over the data.</w:t>
      </w:r>
      <w:r w:rsidR="00B8677A" w:rsidRPr="00BC434D">
        <w:rPr>
          <w:rStyle w:val="FootnoteReference"/>
          <w:rFonts w:asciiTheme="majorBidi" w:hAnsiTheme="majorBidi" w:cstheme="majorBidi"/>
          <w:sz w:val="24"/>
          <w:szCs w:val="24"/>
          <w:lang w:val="en-GB"/>
        </w:rPr>
        <w:footnoteReference w:id="40"/>
      </w:r>
    </w:p>
    <w:p w14:paraId="37C33EC1" w14:textId="0B91F963" w:rsidR="00C33913" w:rsidRPr="00BC434D" w:rsidRDefault="00541D58"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lastRenderedPageBreak/>
        <w:t xml:space="preserve">In the absence of legal regulation of the issue, the platform is actually the main and only regulator. The lack of legal regulation of post-mortem data opens incredible prospects for platforms whose goal is often profit, which for aspects such as privacy and reputation, and certainly for those connected to the deceased data subject, means a radical increase in the risks of violation of rights and personal </w:t>
      </w:r>
      <w:r w:rsidR="00744072" w:rsidRPr="00BC434D">
        <w:rPr>
          <w:rFonts w:asciiTheme="majorBidi" w:hAnsiTheme="majorBidi" w:cstheme="majorBidi"/>
          <w:sz w:val="24"/>
          <w:szCs w:val="24"/>
          <w:lang w:val="en-GB"/>
        </w:rPr>
        <w:t>boundaries</w:t>
      </w:r>
      <w:r w:rsidR="004349E9"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 Ma</w:t>
      </w:r>
      <w:r w:rsidR="007A4D69" w:rsidRPr="00BC434D">
        <w:rPr>
          <w:rFonts w:asciiTheme="majorBidi" w:hAnsiTheme="majorBidi" w:cstheme="majorBidi"/>
          <w:sz w:val="24"/>
          <w:szCs w:val="24"/>
          <w:lang w:val="en-GB"/>
        </w:rPr>
        <w:t>lg</w:t>
      </w:r>
      <w:r w:rsidRPr="00BC434D">
        <w:rPr>
          <w:rFonts w:asciiTheme="majorBidi" w:hAnsiTheme="majorBidi" w:cstheme="majorBidi"/>
          <w:sz w:val="24"/>
          <w:szCs w:val="24"/>
          <w:lang w:val="en-GB"/>
        </w:rPr>
        <w:t>ieri, in particular, attributes to th</w:t>
      </w:r>
      <w:r w:rsidR="004349E9" w:rsidRPr="00BC434D">
        <w:rPr>
          <w:rFonts w:asciiTheme="majorBidi" w:hAnsiTheme="majorBidi" w:cstheme="majorBidi"/>
          <w:sz w:val="24"/>
          <w:szCs w:val="24"/>
          <w:lang w:val="en-GB"/>
        </w:rPr>
        <w:t>ese risks</w:t>
      </w:r>
      <w:r w:rsidRPr="00BC434D">
        <w:rPr>
          <w:rFonts w:asciiTheme="majorBidi" w:hAnsiTheme="majorBidi" w:cstheme="majorBidi"/>
          <w:sz w:val="24"/>
          <w:szCs w:val="24"/>
          <w:lang w:val="en-GB"/>
        </w:rPr>
        <w:t xml:space="preserve"> the possibility of obtaining data about friends and relatives from unregulated posthumous dat</w:t>
      </w:r>
      <w:r w:rsidR="00E23C5C" w:rsidRPr="00BC434D">
        <w:rPr>
          <w:rFonts w:asciiTheme="majorBidi" w:hAnsiTheme="majorBidi" w:cstheme="majorBidi"/>
          <w:sz w:val="24"/>
          <w:szCs w:val="24"/>
          <w:lang w:val="en-GB"/>
        </w:rPr>
        <w:t xml:space="preserve">a </w:t>
      </w:r>
      <w:r w:rsidRPr="00BC434D">
        <w:rPr>
          <w:rFonts w:asciiTheme="majorBidi" w:hAnsiTheme="majorBidi" w:cstheme="majorBidi"/>
          <w:sz w:val="24"/>
          <w:szCs w:val="24"/>
          <w:lang w:val="en-GB"/>
        </w:rPr>
        <w:t xml:space="preserve">through secondary data processing and exploiting </w:t>
      </w:r>
      <w:r w:rsidR="00E23C5C" w:rsidRPr="00BC434D">
        <w:rPr>
          <w:rFonts w:asciiTheme="majorBidi" w:hAnsiTheme="majorBidi" w:cstheme="majorBidi"/>
          <w:sz w:val="24"/>
          <w:szCs w:val="24"/>
          <w:lang w:val="en-GB"/>
        </w:rPr>
        <w:t>it</w:t>
      </w:r>
      <w:r w:rsidRPr="00BC434D">
        <w:rPr>
          <w:rFonts w:asciiTheme="majorBidi" w:hAnsiTheme="majorBidi" w:cstheme="majorBidi"/>
          <w:sz w:val="24"/>
          <w:szCs w:val="24"/>
          <w:lang w:val="en-GB"/>
        </w:rPr>
        <w:t xml:space="preserve"> in attempts to profit from the grief and vulnerability of people related to the deceased through online </w:t>
      </w:r>
      <w:r w:rsidR="00E23C5C" w:rsidRPr="00BC434D">
        <w:rPr>
          <w:rFonts w:asciiTheme="majorBidi" w:hAnsiTheme="majorBidi" w:cstheme="majorBidi"/>
          <w:sz w:val="24"/>
          <w:szCs w:val="24"/>
          <w:lang w:val="en-GB"/>
        </w:rPr>
        <w:t>behavioural</w:t>
      </w:r>
      <w:r w:rsidRPr="00BC434D">
        <w:rPr>
          <w:rFonts w:asciiTheme="majorBidi" w:hAnsiTheme="majorBidi" w:cstheme="majorBidi"/>
          <w:sz w:val="24"/>
          <w:szCs w:val="24"/>
          <w:lang w:val="en-GB"/>
        </w:rPr>
        <w:t xml:space="preserve"> advertisements</w:t>
      </w:r>
      <w:r w:rsidR="00571941" w:rsidRPr="00BC434D">
        <w:rPr>
          <w:rFonts w:asciiTheme="majorBidi" w:hAnsiTheme="majorBidi" w:cstheme="majorBidi"/>
          <w:sz w:val="24"/>
          <w:szCs w:val="24"/>
          <w:lang w:val="en-GB"/>
        </w:rPr>
        <w:t>.</w:t>
      </w:r>
      <w:r w:rsidR="00571941" w:rsidRPr="00BC434D">
        <w:rPr>
          <w:rStyle w:val="FootnoteReference"/>
          <w:rFonts w:asciiTheme="majorBidi" w:hAnsiTheme="majorBidi" w:cstheme="majorBidi"/>
          <w:sz w:val="24"/>
          <w:szCs w:val="24"/>
          <w:lang w:val="en-GB"/>
        </w:rPr>
        <w:footnoteReference w:id="41"/>
      </w:r>
    </w:p>
    <w:p w14:paraId="50EA7E55" w14:textId="17F7F30A" w:rsidR="00206080" w:rsidRPr="00BC434D" w:rsidRDefault="00206080"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Considering these risks</w:t>
      </w:r>
      <w:r w:rsidR="00744072"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 attempts to distance the regulation of post</w:t>
      </w:r>
      <w:r w:rsidR="00744072"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mortem privacy from service providers within the framework of the French regulatory </w:t>
      </w:r>
      <w:r w:rsidR="009D0C63" w:rsidRPr="00BC434D">
        <w:rPr>
          <w:rFonts w:asciiTheme="majorBidi" w:hAnsiTheme="majorBidi" w:cstheme="majorBidi"/>
          <w:sz w:val="24"/>
          <w:szCs w:val="24"/>
          <w:lang w:val="en-GB"/>
        </w:rPr>
        <w:t>approach</w:t>
      </w:r>
      <w:r w:rsidRPr="00BC434D">
        <w:rPr>
          <w:rFonts w:asciiTheme="majorBidi" w:hAnsiTheme="majorBidi" w:cstheme="majorBidi"/>
          <w:sz w:val="24"/>
          <w:szCs w:val="24"/>
          <w:lang w:val="en-GB"/>
        </w:rPr>
        <w:t xml:space="preserve"> do not appear to be u</w:t>
      </w:r>
      <w:r w:rsidR="00BD3F57" w:rsidRPr="00BC434D">
        <w:rPr>
          <w:rFonts w:asciiTheme="majorBidi" w:hAnsiTheme="majorBidi" w:cstheme="majorBidi"/>
          <w:sz w:val="24"/>
          <w:szCs w:val="24"/>
          <w:lang w:val="en-GB"/>
        </w:rPr>
        <w:t>nreasonable</w:t>
      </w:r>
      <w:r w:rsidRPr="00BC434D">
        <w:rPr>
          <w:rFonts w:asciiTheme="majorBidi" w:hAnsiTheme="majorBidi" w:cstheme="majorBidi"/>
          <w:sz w:val="24"/>
          <w:szCs w:val="24"/>
          <w:lang w:val="en-GB"/>
        </w:rPr>
        <w:t xml:space="preserve">, despite the </w:t>
      </w:r>
      <w:r w:rsidR="009D0C63" w:rsidRPr="00BC434D">
        <w:rPr>
          <w:rFonts w:asciiTheme="majorBidi" w:hAnsiTheme="majorBidi" w:cstheme="majorBidi"/>
          <w:sz w:val="24"/>
          <w:szCs w:val="24"/>
          <w:lang w:val="en-GB"/>
        </w:rPr>
        <w:t>availability</w:t>
      </w:r>
      <w:r w:rsidRPr="00BC434D">
        <w:rPr>
          <w:rFonts w:asciiTheme="majorBidi" w:hAnsiTheme="majorBidi" w:cstheme="majorBidi"/>
          <w:sz w:val="24"/>
          <w:szCs w:val="24"/>
          <w:lang w:val="en-GB"/>
        </w:rPr>
        <w:t xml:space="preserve"> of a much easier regulatory method </w:t>
      </w:r>
      <w:r w:rsidR="00810E36">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 full delegation of the role of the </w:t>
      </w:r>
      <w:r w:rsidR="001717DA"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post-mortem data controller</w:t>
      </w:r>
      <w:r w:rsidR="001717DA"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 to the service provider.</w:t>
      </w:r>
    </w:p>
    <w:p w14:paraId="6BA760A7" w14:textId="16F1610A" w:rsidR="00F05274" w:rsidRPr="00BC434D" w:rsidRDefault="000C3136" w:rsidP="00D848BE">
      <w:pPr>
        <w:pStyle w:val="Heading1"/>
        <w:numPr>
          <w:ilvl w:val="0"/>
          <w:numId w:val="18"/>
        </w:numPr>
        <w:spacing w:line="276" w:lineRule="auto"/>
        <w:ind w:left="0"/>
        <w:rPr>
          <w:rFonts w:asciiTheme="majorBidi" w:hAnsiTheme="majorBidi"/>
          <w:b/>
          <w:bCs/>
          <w:color w:val="auto"/>
          <w:sz w:val="24"/>
          <w:szCs w:val="24"/>
          <w:lang w:val="en-GB"/>
        </w:rPr>
      </w:pPr>
      <w:r w:rsidRPr="00BC434D">
        <w:rPr>
          <w:rFonts w:asciiTheme="majorBidi" w:hAnsiTheme="majorBidi"/>
          <w:b/>
          <w:bCs/>
          <w:color w:val="auto"/>
          <w:sz w:val="24"/>
          <w:szCs w:val="24"/>
          <w:lang w:val="en-GB"/>
        </w:rPr>
        <w:t>Harmonization</w:t>
      </w:r>
      <w:r w:rsidR="007F7DE8" w:rsidRPr="00BC434D">
        <w:rPr>
          <w:rFonts w:asciiTheme="majorBidi" w:hAnsiTheme="majorBidi"/>
          <w:b/>
          <w:bCs/>
          <w:color w:val="auto"/>
          <w:sz w:val="24"/>
          <w:szCs w:val="24"/>
          <w:lang w:val="en-GB"/>
        </w:rPr>
        <w:t xml:space="preserve"> aspects</w:t>
      </w:r>
      <w:r w:rsidR="00663DD5" w:rsidRPr="00BC434D">
        <w:rPr>
          <w:rFonts w:asciiTheme="majorBidi" w:hAnsiTheme="majorBidi"/>
          <w:b/>
          <w:bCs/>
          <w:color w:val="auto"/>
          <w:sz w:val="24"/>
          <w:szCs w:val="24"/>
          <w:lang w:val="en-GB"/>
        </w:rPr>
        <w:br/>
      </w:r>
    </w:p>
    <w:p w14:paraId="773317D8" w14:textId="14C158F6" w:rsidR="0057237C" w:rsidRPr="00BC434D" w:rsidRDefault="0091376F"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 xml:space="preserve">In the conditions of such a little-regulated and little-studied phenomenon as post-mortem privacy, views on the need for </w:t>
      </w:r>
      <w:r w:rsidR="00343CAB" w:rsidRPr="00BC434D">
        <w:rPr>
          <w:rFonts w:asciiTheme="majorBidi" w:hAnsiTheme="majorBidi" w:cstheme="majorBidi"/>
          <w:sz w:val="24"/>
          <w:szCs w:val="24"/>
          <w:lang w:val="en-GB"/>
        </w:rPr>
        <w:t xml:space="preserve">an </w:t>
      </w:r>
      <w:r w:rsidRPr="00BC434D">
        <w:rPr>
          <w:rFonts w:asciiTheme="majorBidi" w:hAnsiTheme="majorBidi" w:cstheme="majorBidi"/>
          <w:sz w:val="24"/>
          <w:szCs w:val="24"/>
          <w:lang w:val="en-GB"/>
        </w:rPr>
        <w:t xml:space="preserve">EU </w:t>
      </w:r>
      <w:r w:rsidR="00A679AD" w:rsidRPr="00BC434D">
        <w:rPr>
          <w:rFonts w:asciiTheme="majorBidi" w:hAnsiTheme="majorBidi" w:cstheme="majorBidi"/>
          <w:sz w:val="24"/>
          <w:szCs w:val="24"/>
          <w:lang w:val="en-GB"/>
        </w:rPr>
        <w:t>harmonisation</w:t>
      </w:r>
      <w:r w:rsidRPr="00BC434D">
        <w:rPr>
          <w:rFonts w:asciiTheme="majorBidi" w:hAnsiTheme="majorBidi" w:cstheme="majorBidi"/>
          <w:sz w:val="24"/>
          <w:szCs w:val="24"/>
          <w:lang w:val="en-GB"/>
        </w:rPr>
        <w:t xml:space="preserve">, identical to that existing for the rest of the provisions of the GDPR, differ to a large extent. </w:t>
      </w:r>
      <w:r w:rsidR="00C90BD0" w:rsidRPr="00BC434D">
        <w:rPr>
          <w:rFonts w:asciiTheme="majorBidi" w:hAnsiTheme="majorBidi" w:cstheme="majorBidi"/>
          <w:sz w:val="24"/>
          <w:szCs w:val="24"/>
          <w:lang w:val="en-GB"/>
        </w:rPr>
        <w:t>F</w:t>
      </w:r>
      <w:r w:rsidRPr="00BC434D">
        <w:rPr>
          <w:rFonts w:asciiTheme="majorBidi" w:hAnsiTheme="majorBidi" w:cstheme="majorBidi"/>
          <w:sz w:val="24"/>
          <w:szCs w:val="24"/>
          <w:lang w:val="en-GB"/>
        </w:rPr>
        <w:t xml:space="preserve">or example, Okoro believes, that the call for posthumous privacy will not be welcomed and answered by all Member States </w:t>
      </w:r>
      <w:r w:rsidR="001717DA"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as each state has its own unique history and traditional beliefs upon which its legal system is built and to </w:t>
      </w:r>
      <w:r w:rsidR="00446E48" w:rsidRPr="00BC434D">
        <w:rPr>
          <w:rFonts w:asciiTheme="majorBidi" w:hAnsiTheme="majorBidi" w:cstheme="majorBidi"/>
          <w:sz w:val="24"/>
          <w:szCs w:val="24"/>
          <w:lang w:val="en-GB"/>
        </w:rPr>
        <w:t>harmonise</w:t>
      </w:r>
      <w:r w:rsidRPr="00BC434D">
        <w:rPr>
          <w:rFonts w:asciiTheme="majorBidi" w:hAnsiTheme="majorBidi" w:cstheme="majorBidi"/>
          <w:sz w:val="24"/>
          <w:szCs w:val="24"/>
          <w:lang w:val="en-GB"/>
        </w:rPr>
        <w:t xml:space="preserve"> them in this regard would be </w:t>
      </w:r>
      <w:r w:rsidR="00C90BD0" w:rsidRPr="00BC434D">
        <w:rPr>
          <w:rFonts w:asciiTheme="majorBidi" w:hAnsiTheme="majorBidi" w:cstheme="majorBidi"/>
          <w:sz w:val="24"/>
          <w:szCs w:val="24"/>
          <w:lang w:val="en-GB"/>
        </w:rPr>
        <w:t>too</w:t>
      </w:r>
      <w:r w:rsidRPr="00BC434D">
        <w:rPr>
          <w:rFonts w:asciiTheme="majorBidi" w:hAnsiTheme="majorBidi" w:cstheme="majorBidi"/>
          <w:sz w:val="24"/>
          <w:szCs w:val="24"/>
          <w:lang w:val="en-GB"/>
        </w:rPr>
        <w:t xml:space="preserve"> problem</w:t>
      </w:r>
      <w:r w:rsidR="0029532C" w:rsidRPr="00BC434D">
        <w:rPr>
          <w:rFonts w:asciiTheme="majorBidi" w:hAnsiTheme="majorBidi" w:cstheme="majorBidi"/>
          <w:sz w:val="24"/>
          <w:szCs w:val="24"/>
          <w:lang w:val="en-GB"/>
        </w:rPr>
        <w:t>atic</w:t>
      </w:r>
      <w:r w:rsidR="001717DA" w:rsidRPr="00BC434D">
        <w:rPr>
          <w:rFonts w:asciiTheme="majorBidi" w:hAnsiTheme="majorBidi" w:cstheme="majorBidi"/>
          <w:sz w:val="24"/>
          <w:szCs w:val="24"/>
          <w:lang w:val="en-GB"/>
        </w:rPr>
        <w:t>”</w:t>
      </w:r>
      <w:r w:rsidR="00C90BD0" w:rsidRPr="00BC434D">
        <w:rPr>
          <w:rFonts w:asciiTheme="majorBidi" w:hAnsiTheme="majorBidi" w:cstheme="majorBidi"/>
          <w:sz w:val="24"/>
          <w:szCs w:val="24"/>
          <w:lang w:val="en-GB"/>
        </w:rPr>
        <w:t>.</w:t>
      </w:r>
      <w:r w:rsidR="0029532C" w:rsidRPr="00BC434D">
        <w:rPr>
          <w:rFonts w:asciiTheme="majorBidi" w:hAnsiTheme="majorBidi" w:cstheme="majorBidi"/>
          <w:sz w:val="24"/>
          <w:szCs w:val="24"/>
          <w:lang w:val="en-GB"/>
        </w:rPr>
        <w:t xml:space="preserve"> </w:t>
      </w:r>
      <w:r w:rsidR="00FA3AD7" w:rsidRPr="00BC434D">
        <w:rPr>
          <w:rStyle w:val="FootnoteReference"/>
          <w:rFonts w:asciiTheme="majorBidi" w:hAnsiTheme="majorBidi" w:cstheme="majorBidi"/>
          <w:sz w:val="24"/>
          <w:szCs w:val="24"/>
          <w:lang w:val="en-GB"/>
        </w:rPr>
        <w:footnoteReference w:id="42"/>
      </w:r>
    </w:p>
    <w:p w14:paraId="0FC41DF5" w14:textId="5D0A4480" w:rsidR="00DA32FB" w:rsidRPr="00BC434D" w:rsidRDefault="00974855"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At the same time, Petra raises the quite valid issue of risks associated with non-regulation at the European level, in particular</w:t>
      </w:r>
      <w:r w:rsidR="009F33FC"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 the possibility of legal fragmentation and legal uncertainty in cross-border matters</w:t>
      </w:r>
      <w:r w:rsidR="00B36569" w:rsidRPr="00BC434D">
        <w:rPr>
          <w:rFonts w:asciiTheme="majorBidi" w:hAnsiTheme="majorBidi" w:cstheme="majorBidi"/>
          <w:sz w:val="24"/>
          <w:szCs w:val="24"/>
          <w:lang w:val="en-GB"/>
        </w:rPr>
        <w:t>.</w:t>
      </w:r>
      <w:r w:rsidR="004C7000" w:rsidRPr="00BC434D">
        <w:rPr>
          <w:rStyle w:val="FootnoteReference"/>
          <w:rFonts w:asciiTheme="majorBidi" w:hAnsiTheme="majorBidi" w:cstheme="majorBidi"/>
          <w:sz w:val="24"/>
          <w:szCs w:val="24"/>
          <w:lang w:val="en-GB"/>
        </w:rPr>
        <w:footnoteReference w:id="43"/>
      </w:r>
      <w:r w:rsidR="00B36569" w:rsidRPr="00BC434D">
        <w:rPr>
          <w:rFonts w:asciiTheme="majorBidi" w:hAnsiTheme="majorBidi" w:cstheme="majorBidi"/>
          <w:sz w:val="24"/>
          <w:szCs w:val="24"/>
          <w:lang w:val="en-GB"/>
        </w:rPr>
        <w:t xml:space="preserve"> </w:t>
      </w:r>
      <w:r w:rsidR="00CF702C" w:rsidRPr="00BC434D">
        <w:rPr>
          <w:rFonts w:asciiTheme="majorBidi" w:hAnsiTheme="majorBidi" w:cstheme="majorBidi"/>
          <w:sz w:val="24"/>
          <w:szCs w:val="24"/>
          <w:lang w:val="en-GB"/>
        </w:rPr>
        <w:t xml:space="preserve">Hamuľák, Kocharyan, and Kerikmäe </w:t>
      </w:r>
      <w:r w:rsidR="004C7366" w:rsidRPr="00BC434D">
        <w:rPr>
          <w:rFonts w:asciiTheme="majorBidi" w:hAnsiTheme="majorBidi" w:cstheme="majorBidi"/>
          <w:sz w:val="24"/>
          <w:szCs w:val="24"/>
          <w:lang w:val="en-GB"/>
        </w:rPr>
        <w:t xml:space="preserve">agree that </w:t>
      </w:r>
      <w:r w:rsidR="00446E48" w:rsidRPr="00BC434D">
        <w:rPr>
          <w:rFonts w:asciiTheme="majorBidi" w:hAnsiTheme="majorBidi" w:cstheme="majorBidi"/>
          <w:sz w:val="24"/>
          <w:szCs w:val="24"/>
          <w:lang w:val="en-GB"/>
        </w:rPr>
        <w:t>harmonisation</w:t>
      </w:r>
      <w:r w:rsidR="0057586A" w:rsidRPr="00BC434D">
        <w:rPr>
          <w:rFonts w:asciiTheme="majorBidi" w:hAnsiTheme="majorBidi" w:cstheme="majorBidi"/>
          <w:sz w:val="24"/>
          <w:szCs w:val="24"/>
          <w:lang w:val="en-GB"/>
        </w:rPr>
        <w:t xml:space="preserve"> is indeed needed, but the </w:t>
      </w:r>
      <w:r w:rsidR="001717DA" w:rsidRPr="00BC434D">
        <w:rPr>
          <w:rFonts w:asciiTheme="majorBidi" w:hAnsiTheme="majorBidi" w:cstheme="majorBidi"/>
          <w:sz w:val="24"/>
          <w:szCs w:val="24"/>
          <w:lang w:val="en-GB"/>
        </w:rPr>
        <w:t>“</w:t>
      </w:r>
      <w:r w:rsidR="008B007B" w:rsidRPr="00BC434D">
        <w:rPr>
          <w:rFonts w:asciiTheme="majorBidi" w:hAnsiTheme="majorBidi" w:cstheme="majorBidi"/>
          <w:sz w:val="24"/>
          <w:szCs w:val="24"/>
          <w:lang w:val="en-GB"/>
        </w:rPr>
        <w:t>unified hybrid (</w:t>
      </w:r>
      <w:r w:rsidR="001717DA" w:rsidRPr="00BC434D">
        <w:rPr>
          <w:rFonts w:asciiTheme="majorBidi" w:hAnsiTheme="majorBidi" w:cstheme="majorBidi"/>
          <w:sz w:val="24"/>
          <w:szCs w:val="24"/>
          <w:lang w:val="en-GB"/>
        </w:rPr>
        <w:t>“</w:t>
      </w:r>
      <w:r w:rsidR="008B007B" w:rsidRPr="00BC434D">
        <w:rPr>
          <w:rFonts w:asciiTheme="majorBidi" w:hAnsiTheme="majorBidi" w:cstheme="majorBidi"/>
          <w:sz w:val="24"/>
          <w:szCs w:val="24"/>
          <w:lang w:val="en-GB"/>
        </w:rPr>
        <w:t>consensual</w:t>
      </w:r>
      <w:r w:rsidR="001717DA" w:rsidRPr="00BC434D">
        <w:rPr>
          <w:rFonts w:asciiTheme="majorBidi" w:hAnsiTheme="majorBidi" w:cstheme="majorBidi"/>
          <w:sz w:val="24"/>
          <w:szCs w:val="24"/>
          <w:lang w:val="en-GB"/>
        </w:rPr>
        <w:t>”</w:t>
      </w:r>
      <w:r w:rsidR="008B007B" w:rsidRPr="00BC434D">
        <w:rPr>
          <w:rFonts w:asciiTheme="majorBidi" w:hAnsiTheme="majorBidi" w:cstheme="majorBidi"/>
          <w:sz w:val="24"/>
          <w:szCs w:val="24"/>
          <w:lang w:val="en-GB"/>
        </w:rPr>
        <w:t>) mechanism of post-mortem data protection</w:t>
      </w:r>
      <w:r w:rsidR="001717DA" w:rsidRPr="00BC434D">
        <w:rPr>
          <w:rFonts w:asciiTheme="majorBidi" w:hAnsiTheme="majorBidi" w:cstheme="majorBidi"/>
          <w:sz w:val="24"/>
          <w:szCs w:val="24"/>
          <w:lang w:val="en-GB"/>
        </w:rPr>
        <w:t>”</w:t>
      </w:r>
      <w:r w:rsidR="008B007B" w:rsidRPr="00BC434D">
        <w:rPr>
          <w:rFonts w:asciiTheme="majorBidi" w:hAnsiTheme="majorBidi" w:cstheme="majorBidi"/>
          <w:sz w:val="24"/>
          <w:szCs w:val="24"/>
          <w:lang w:val="en-GB"/>
        </w:rPr>
        <w:t xml:space="preserve"> created on the basis of the states` best practices should precede</w:t>
      </w:r>
      <w:r w:rsidR="00D01794" w:rsidRPr="00BC434D">
        <w:rPr>
          <w:rFonts w:asciiTheme="majorBidi" w:hAnsiTheme="majorBidi" w:cstheme="majorBidi"/>
          <w:sz w:val="24"/>
          <w:szCs w:val="24"/>
          <w:lang w:val="en-GB"/>
        </w:rPr>
        <w:t xml:space="preserve"> the GDPR </w:t>
      </w:r>
      <w:r w:rsidR="00446E48" w:rsidRPr="00BC434D">
        <w:rPr>
          <w:rFonts w:asciiTheme="majorBidi" w:hAnsiTheme="majorBidi" w:cstheme="majorBidi"/>
          <w:sz w:val="24"/>
          <w:szCs w:val="24"/>
          <w:lang w:val="en-GB"/>
        </w:rPr>
        <w:t>harmonisation</w:t>
      </w:r>
      <w:r w:rsidR="00D01794" w:rsidRPr="00BC434D">
        <w:rPr>
          <w:rFonts w:asciiTheme="majorBidi" w:hAnsiTheme="majorBidi" w:cstheme="majorBidi"/>
          <w:sz w:val="24"/>
          <w:szCs w:val="24"/>
          <w:lang w:val="en-GB"/>
        </w:rPr>
        <w:t xml:space="preserve"> of the matter.</w:t>
      </w:r>
      <w:r w:rsidR="007D1B60" w:rsidRPr="00BC434D">
        <w:rPr>
          <w:rStyle w:val="FootnoteReference"/>
          <w:rFonts w:asciiTheme="majorBidi" w:hAnsiTheme="majorBidi" w:cstheme="majorBidi"/>
          <w:sz w:val="24"/>
          <w:szCs w:val="24"/>
          <w:lang w:val="en-GB"/>
        </w:rPr>
        <w:footnoteReference w:id="44"/>
      </w:r>
      <w:r w:rsidR="00D01794" w:rsidRPr="00BC434D">
        <w:rPr>
          <w:rFonts w:asciiTheme="majorBidi" w:hAnsiTheme="majorBidi" w:cstheme="majorBidi"/>
          <w:sz w:val="24"/>
          <w:szCs w:val="24"/>
          <w:lang w:val="en-GB"/>
        </w:rPr>
        <w:t xml:space="preserve"> </w:t>
      </w:r>
      <w:r w:rsidR="007D1B60" w:rsidRPr="00BC434D">
        <w:rPr>
          <w:rFonts w:asciiTheme="majorBidi" w:hAnsiTheme="majorBidi" w:cstheme="majorBidi"/>
          <w:sz w:val="24"/>
          <w:szCs w:val="24"/>
          <w:lang w:val="en-GB"/>
        </w:rPr>
        <w:t xml:space="preserve">Considering the </w:t>
      </w:r>
      <w:r w:rsidR="00A15ADA" w:rsidRPr="00BC434D">
        <w:rPr>
          <w:rFonts w:asciiTheme="majorBidi" w:hAnsiTheme="majorBidi" w:cstheme="majorBidi"/>
          <w:sz w:val="24"/>
          <w:szCs w:val="24"/>
          <w:lang w:val="en-GB"/>
        </w:rPr>
        <w:t xml:space="preserve">vast dissimilarities in the current </w:t>
      </w:r>
      <w:r w:rsidR="00EF4734" w:rsidRPr="00BC434D">
        <w:rPr>
          <w:rFonts w:asciiTheme="majorBidi" w:hAnsiTheme="majorBidi" w:cstheme="majorBidi"/>
          <w:sz w:val="24"/>
          <w:szCs w:val="24"/>
          <w:lang w:val="en-GB"/>
        </w:rPr>
        <w:t>EU-</w:t>
      </w:r>
      <w:r w:rsidR="0019356F" w:rsidRPr="00BC434D">
        <w:rPr>
          <w:rFonts w:asciiTheme="majorBidi" w:hAnsiTheme="majorBidi" w:cstheme="majorBidi"/>
          <w:sz w:val="24"/>
          <w:szCs w:val="24"/>
          <w:lang w:val="en-GB"/>
        </w:rPr>
        <w:t>M</w:t>
      </w:r>
      <w:r w:rsidR="00EF4734" w:rsidRPr="00BC434D">
        <w:rPr>
          <w:rFonts w:asciiTheme="majorBidi" w:hAnsiTheme="majorBidi" w:cstheme="majorBidi"/>
          <w:sz w:val="24"/>
          <w:szCs w:val="24"/>
          <w:lang w:val="en-GB"/>
        </w:rPr>
        <w:t xml:space="preserve">ember </w:t>
      </w:r>
      <w:r w:rsidR="00D33555" w:rsidRPr="00BC434D">
        <w:rPr>
          <w:rFonts w:asciiTheme="majorBidi" w:hAnsiTheme="majorBidi" w:cstheme="majorBidi"/>
          <w:sz w:val="24"/>
          <w:szCs w:val="24"/>
          <w:lang w:val="en-GB"/>
        </w:rPr>
        <w:t>States’</w:t>
      </w:r>
      <w:r w:rsidR="00EF4734" w:rsidRPr="00BC434D">
        <w:rPr>
          <w:rFonts w:asciiTheme="majorBidi" w:hAnsiTheme="majorBidi" w:cstheme="majorBidi"/>
          <w:sz w:val="24"/>
          <w:szCs w:val="24"/>
          <w:lang w:val="en-GB"/>
        </w:rPr>
        <w:t xml:space="preserve"> approaches to tackling post-mortem privacy</w:t>
      </w:r>
      <w:r w:rsidR="004334DB" w:rsidRPr="00BC434D">
        <w:rPr>
          <w:rFonts w:asciiTheme="majorBidi" w:hAnsiTheme="majorBidi" w:cstheme="majorBidi"/>
          <w:sz w:val="24"/>
          <w:szCs w:val="24"/>
          <w:lang w:val="en-GB"/>
        </w:rPr>
        <w:t xml:space="preserve">, the author of this work also </w:t>
      </w:r>
      <w:r w:rsidR="006A0C45" w:rsidRPr="00BC434D">
        <w:rPr>
          <w:rFonts w:asciiTheme="majorBidi" w:hAnsiTheme="majorBidi" w:cstheme="majorBidi"/>
          <w:sz w:val="24"/>
          <w:szCs w:val="24"/>
          <w:lang w:val="en-GB"/>
        </w:rPr>
        <w:t>shares this opinion</w:t>
      </w:r>
      <w:r w:rsidR="00432EB2" w:rsidRPr="00BC434D">
        <w:rPr>
          <w:rFonts w:asciiTheme="majorBidi" w:hAnsiTheme="majorBidi" w:cstheme="majorBidi"/>
          <w:sz w:val="24"/>
          <w:szCs w:val="24"/>
          <w:lang w:val="en-GB"/>
        </w:rPr>
        <w:t xml:space="preserve">. </w:t>
      </w:r>
      <w:r w:rsidR="006F3444" w:rsidRPr="00BC434D">
        <w:rPr>
          <w:rFonts w:asciiTheme="majorBidi" w:hAnsiTheme="majorBidi" w:cstheme="majorBidi"/>
          <w:sz w:val="24"/>
          <w:szCs w:val="24"/>
          <w:lang w:val="en-GB"/>
        </w:rPr>
        <w:t xml:space="preserve">It is important that this potential approach </w:t>
      </w:r>
      <w:r w:rsidR="00C04347" w:rsidRPr="00BC434D">
        <w:rPr>
          <w:rFonts w:asciiTheme="majorBidi" w:hAnsiTheme="majorBidi" w:cstheme="majorBidi"/>
          <w:sz w:val="24"/>
          <w:szCs w:val="24"/>
          <w:lang w:val="en-GB"/>
        </w:rPr>
        <w:t>should</w:t>
      </w:r>
      <w:r w:rsidR="006F3444" w:rsidRPr="00BC434D">
        <w:rPr>
          <w:rFonts w:asciiTheme="majorBidi" w:hAnsiTheme="majorBidi" w:cstheme="majorBidi"/>
          <w:sz w:val="24"/>
          <w:szCs w:val="24"/>
          <w:lang w:val="en-GB"/>
        </w:rPr>
        <w:t xml:space="preserve"> not </w:t>
      </w:r>
      <w:r w:rsidR="00C04347" w:rsidRPr="00BC434D">
        <w:rPr>
          <w:rFonts w:asciiTheme="majorBidi" w:hAnsiTheme="majorBidi" w:cstheme="majorBidi"/>
          <w:sz w:val="24"/>
          <w:szCs w:val="24"/>
          <w:lang w:val="en-GB"/>
        </w:rPr>
        <w:t xml:space="preserve">be </w:t>
      </w:r>
      <w:r w:rsidR="006F3444" w:rsidRPr="00BC434D">
        <w:rPr>
          <w:rFonts w:asciiTheme="majorBidi" w:hAnsiTheme="majorBidi" w:cstheme="majorBidi"/>
          <w:sz w:val="24"/>
          <w:szCs w:val="24"/>
          <w:lang w:val="en-GB"/>
        </w:rPr>
        <w:t xml:space="preserve">one-sided. Posthumous privacy is a multi-category </w:t>
      </w:r>
      <w:r w:rsidR="00C04347" w:rsidRPr="00BC434D">
        <w:rPr>
          <w:rFonts w:asciiTheme="majorBidi" w:hAnsiTheme="majorBidi" w:cstheme="majorBidi"/>
          <w:sz w:val="24"/>
          <w:szCs w:val="24"/>
          <w:lang w:val="en-GB"/>
        </w:rPr>
        <w:t xml:space="preserve">notion </w:t>
      </w:r>
      <w:r w:rsidR="006F3444" w:rsidRPr="00BC434D">
        <w:rPr>
          <w:rFonts w:asciiTheme="majorBidi" w:hAnsiTheme="majorBidi" w:cstheme="majorBidi"/>
          <w:sz w:val="24"/>
          <w:szCs w:val="24"/>
          <w:lang w:val="en-GB"/>
        </w:rPr>
        <w:t xml:space="preserve">that depends on and, accordingly, affects many different legal </w:t>
      </w:r>
      <w:r w:rsidR="00C04347" w:rsidRPr="00BC434D">
        <w:rPr>
          <w:rFonts w:asciiTheme="majorBidi" w:hAnsiTheme="majorBidi" w:cstheme="majorBidi"/>
          <w:sz w:val="24"/>
          <w:szCs w:val="24"/>
          <w:lang w:val="en-GB"/>
        </w:rPr>
        <w:t>fields and subjects</w:t>
      </w:r>
      <w:r w:rsidR="006F3444" w:rsidRPr="00BC434D">
        <w:rPr>
          <w:rFonts w:asciiTheme="majorBidi" w:hAnsiTheme="majorBidi" w:cstheme="majorBidi"/>
          <w:sz w:val="24"/>
          <w:szCs w:val="24"/>
          <w:lang w:val="en-GB"/>
        </w:rPr>
        <w:t>. Judging</w:t>
      </w:r>
      <w:r w:rsidR="00C04347" w:rsidRPr="00BC434D">
        <w:rPr>
          <w:rFonts w:asciiTheme="majorBidi" w:hAnsiTheme="majorBidi" w:cstheme="majorBidi"/>
          <w:sz w:val="24"/>
          <w:szCs w:val="24"/>
          <w:lang w:val="en-GB"/>
        </w:rPr>
        <w:t xml:space="preserve"> and managing</w:t>
      </w:r>
      <w:r w:rsidR="006F3444" w:rsidRPr="00BC434D">
        <w:rPr>
          <w:rFonts w:asciiTheme="majorBidi" w:hAnsiTheme="majorBidi" w:cstheme="majorBidi"/>
          <w:sz w:val="24"/>
          <w:szCs w:val="24"/>
          <w:lang w:val="en-GB"/>
        </w:rPr>
        <w:t xml:space="preserve"> it solely from the point of view of the right of inheritance, or solely from the point of view of contract law, without taking into account privacy, data protection and ethics, or vice versa </w:t>
      </w:r>
      <w:r w:rsidR="00810E36">
        <w:rPr>
          <w:rFonts w:asciiTheme="majorBidi" w:hAnsiTheme="majorBidi" w:cstheme="majorBidi"/>
          <w:sz w:val="24"/>
          <w:szCs w:val="24"/>
          <w:lang w:val="en-GB"/>
        </w:rPr>
        <w:t>–</w:t>
      </w:r>
      <w:r w:rsidR="006F3444" w:rsidRPr="00BC434D">
        <w:rPr>
          <w:rFonts w:asciiTheme="majorBidi" w:hAnsiTheme="majorBidi" w:cstheme="majorBidi"/>
          <w:sz w:val="24"/>
          <w:szCs w:val="24"/>
          <w:lang w:val="en-GB"/>
        </w:rPr>
        <w:t xml:space="preserve"> to completely eliminate inheritance rights </w:t>
      </w:r>
      <w:r w:rsidR="00810E36">
        <w:rPr>
          <w:rFonts w:asciiTheme="majorBidi" w:hAnsiTheme="majorBidi" w:cstheme="majorBidi"/>
          <w:sz w:val="24"/>
          <w:szCs w:val="24"/>
          <w:lang w:val="en-GB"/>
        </w:rPr>
        <w:t>–</w:t>
      </w:r>
      <w:r w:rsidR="006F3444" w:rsidRPr="00BC434D">
        <w:rPr>
          <w:rFonts w:asciiTheme="majorBidi" w:hAnsiTheme="majorBidi" w:cstheme="majorBidi"/>
          <w:sz w:val="24"/>
          <w:szCs w:val="24"/>
          <w:lang w:val="en-GB"/>
        </w:rPr>
        <w:t xml:space="preserve"> is the </w:t>
      </w:r>
      <w:r w:rsidR="00C12908" w:rsidRPr="00BC434D">
        <w:rPr>
          <w:rFonts w:asciiTheme="majorBidi" w:hAnsiTheme="majorBidi" w:cstheme="majorBidi"/>
          <w:sz w:val="24"/>
          <w:szCs w:val="24"/>
          <w:lang w:val="en-GB"/>
        </w:rPr>
        <w:t>road</w:t>
      </w:r>
      <w:r w:rsidR="006F3444" w:rsidRPr="00BC434D">
        <w:rPr>
          <w:rFonts w:asciiTheme="majorBidi" w:hAnsiTheme="majorBidi" w:cstheme="majorBidi"/>
          <w:sz w:val="24"/>
          <w:szCs w:val="24"/>
          <w:lang w:val="en-GB"/>
        </w:rPr>
        <w:t xml:space="preserve"> to nowhere.</w:t>
      </w:r>
    </w:p>
    <w:p w14:paraId="2725E891" w14:textId="1C91CC21" w:rsidR="000C3136" w:rsidRPr="00BC434D" w:rsidRDefault="000C3136" w:rsidP="00D848BE">
      <w:pPr>
        <w:pStyle w:val="Heading1"/>
        <w:spacing w:line="276" w:lineRule="auto"/>
        <w:rPr>
          <w:rFonts w:asciiTheme="majorBidi" w:hAnsiTheme="majorBidi"/>
          <w:b/>
          <w:bCs/>
          <w:color w:val="auto"/>
          <w:sz w:val="24"/>
          <w:szCs w:val="24"/>
          <w:lang w:val="en-GB"/>
        </w:rPr>
      </w:pPr>
      <w:r w:rsidRPr="00BC434D">
        <w:rPr>
          <w:rFonts w:asciiTheme="majorBidi" w:hAnsiTheme="majorBidi"/>
          <w:b/>
          <w:bCs/>
          <w:color w:val="auto"/>
          <w:sz w:val="24"/>
          <w:szCs w:val="24"/>
          <w:lang w:val="en-GB"/>
        </w:rPr>
        <w:lastRenderedPageBreak/>
        <w:t>Conclusions</w:t>
      </w:r>
    </w:p>
    <w:p w14:paraId="057CECE5" w14:textId="52B3BF20" w:rsidR="00F107B9" w:rsidRPr="00BC434D" w:rsidRDefault="007F7DE8"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br/>
      </w:r>
      <w:r w:rsidR="00F107B9" w:rsidRPr="00BC434D">
        <w:rPr>
          <w:rFonts w:asciiTheme="majorBidi" w:hAnsiTheme="majorBidi" w:cstheme="majorBidi"/>
          <w:sz w:val="24"/>
          <w:szCs w:val="24"/>
          <w:lang w:val="en-GB"/>
        </w:rPr>
        <w:t>This paper critically discovered the issue of post-mortem privacy in terms of the latest legislati</w:t>
      </w:r>
      <w:r w:rsidR="00FB3DAC" w:rsidRPr="00BC434D">
        <w:rPr>
          <w:rFonts w:asciiTheme="majorBidi" w:hAnsiTheme="majorBidi" w:cstheme="majorBidi"/>
          <w:sz w:val="24"/>
          <w:szCs w:val="24"/>
          <w:lang w:val="en-GB"/>
        </w:rPr>
        <w:t>ve</w:t>
      </w:r>
      <w:r w:rsidR="00F107B9" w:rsidRPr="00BC434D">
        <w:rPr>
          <w:rFonts w:asciiTheme="majorBidi" w:hAnsiTheme="majorBidi" w:cstheme="majorBidi"/>
          <w:sz w:val="24"/>
          <w:szCs w:val="24"/>
          <w:lang w:val="en-GB"/>
        </w:rPr>
        <w:t xml:space="preserve"> </w:t>
      </w:r>
      <w:r w:rsidR="00F107B9" w:rsidRPr="00BC434D">
        <w:rPr>
          <w:rFonts w:asciiTheme="majorBidi" w:hAnsiTheme="majorBidi" w:cstheme="majorBidi"/>
          <w:sz w:val="24"/>
          <w:szCs w:val="24"/>
          <w:cs/>
          <w:lang w:val="en-GB"/>
        </w:rPr>
        <w:t>‎</w:t>
      </w:r>
      <w:r w:rsidR="00F107B9" w:rsidRPr="00BC434D">
        <w:rPr>
          <w:rFonts w:asciiTheme="majorBidi" w:hAnsiTheme="majorBidi" w:cstheme="majorBidi"/>
          <w:sz w:val="24"/>
          <w:szCs w:val="24"/>
          <w:lang w:val="en-GB"/>
        </w:rPr>
        <w:t>development shifts and legal discourse’s reaction to them thus:</w:t>
      </w:r>
      <w:r w:rsidR="00F107B9" w:rsidRPr="00BC434D">
        <w:rPr>
          <w:rFonts w:asciiTheme="majorBidi" w:hAnsiTheme="majorBidi" w:cstheme="majorBidi"/>
          <w:sz w:val="24"/>
          <w:szCs w:val="24"/>
          <w:cs/>
          <w:lang w:val="en-GB"/>
        </w:rPr>
        <w:t>‎</w:t>
      </w:r>
    </w:p>
    <w:p w14:paraId="7B759E33" w14:textId="77777777" w:rsidR="00B7099A" w:rsidRPr="00BC434D" w:rsidRDefault="00F107B9" w:rsidP="00D848BE">
      <w:pPr>
        <w:pStyle w:val="ListParagraph"/>
        <w:numPr>
          <w:ilvl w:val="0"/>
          <w:numId w:val="13"/>
        </w:numPr>
        <w:spacing w:line="276" w:lineRule="auto"/>
        <w:ind w:left="0"/>
        <w:jc w:val="both"/>
        <w:rPr>
          <w:rFonts w:asciiTheme="majorBidi" w:hAnsiTheme="majorBidi" w:cstheme="majorBidi"/>
          <w:sz w:val="24"/>
          <w:szCs w:val="24"/>
          <w:cs/>
          <w:lang w:val="en-GB"/>
        </w:rPr>
      </w:pPr>
      <w:r w:rsidRPr="00BC434D">
        <w:rPr>
          <w:rFonts w:asciiTheme="majorBidi" w:hAnsiTheme="majorBidi" w:cstheme="majorBidi"/>
          <w:sz w:val="24"/>
          <w:szCs w:val="24"/>
          <w:lang w:val="en-GB"/>
        </w:rPr>
        <w:t xml:space="preserve">Consolidating and complementing the theoretical basis based on the critical observation of the latest </w:t>
      </w:r>
      <w:r w:rsidRPr="00BC434D">
        <w:rPr>
          <w:rFonts w:asciiTheme="majorBidi" w:hAnsiTheme="majorBidi" w:cstheme="majorBidi"/>
          <w:sz w:val="24"/>
          <w:szCs w:val="24"/>
          <w:cs/>
          <w:lang w:val="en-GB"/>
        </w:rPr>
        <w:t>‎</w:t>
      </w:r>
      <w:r w:rsidRPr="00BC434D">
        <w:rPr>
          <w:rFonts w:asciiTheme="majorBidi" w:hAnsiTheme="majorBidi" w:cstheme="majorBidi"/>
          <w:sz w:val="24"/>
          <w:szCs w:val="24"/>
          <w:lang w:val="en-GB"/>
        </w:rPr>
        <w:t xml:space="preserve">regulatory </w:t>
      </w:r>
      <w:r w:rsidRPr="00BC434D">
        <w:rPr>
          <w:rFonts w:asciiTheme="majorBidi" w:hAnsiTheme="majorBidi" w:cstheme="majorBidi"/>
          <w:sz w:val="24"/>
          <w:szCs w:val="24"/>
          <w:cs/>
          <w:lang w:val="en-GB"/>
        </w:rPr>
        <w:t>‎</w:t>
      </w:r>
      <w:r w:rsidRPr="00BC434D">
        <w:rPr>
          <w:rFonts w:asciiTheme="majorBidi" w:hAnsiTheme="majorBidi" w:cstheme="majorBidi"/>
          <w:sz w:val="24"/>
          <w:szCs w:val="24"/>
          <w:lang w:val="en-GB"/>
        </w:rPr>
        <w:t>trends and updates in light of the previous considerations and assumptions.</w:t>
      </w:r>
      <w:r w:rsidRPr="00BC434D">
        <w:rPr>
          <w:rFonts w:asciiTheme="majorBidi" w:hAnsiTheme="majorBidi" w:cstheme="majorBidi"/>
          <w:sz w:val="24"/>
          <w:szCs w:val="24"/>
          <w:cs/>
          <w:lang w:val="en-GB"/>
        </w:rPr>
        <w:t>‎</w:t>
      </w:r>
    </w:p>
    <w:p w14:paraId="3AC8C8B5" w14:textId="1DE87FA5" w:rsidR="00497B1C" w:rsidRPr="00BC434D" w:rsidRDefault="00F107B9" w:rsidP="00D848BE">
      <w:pPr>
        <w:pStyle w:val="ListParagraph"/>
        <w:numPr>
          <w:ilvl w:val="0"/>
          <w:numId w:val="13"/>
        </w:numPr>
        <w:spacing w:line="276" w:lineRule="auto"/>
        <w:ind w:left="0"/>
        <w:jc w:val="both"/>
        <w:rPr>
          <w:rFonts w:asciiTheme="majorBidi" w:hAnsiTheme="majorBidi" w:cstheme="majorBidi"/>
          <w:sz w:val="24"/>
          <w:szCs w:val="24"/>
          <w:cs/>
          <w:lang w:val="en-GB"/>
        </w:rPr>
      </w:pPr>
      <w:r w:rsidRPr="00BC434D">
        <w:rPr>
          <w:rFonts w:asciiTheme="majorBidi" w:hAnsiTheme="majorBidi" w:cstheme="majorBidi"/>
          <w:sz w:val="24"/>
          <w:szCs w:val="24"/>
          <w:lang w:val="en-GB"/>
        </w:rPr>
        <w:t>Reveal</w:t>
      </w:r>
      <w:r w:rsidR="00075E31" w:rsidRPr="00BC434D">
        <w:rPr>
          <w:rFonts w:asciiTheme="majorBidi" w:hAnsiTheme="majorBidi" w:cstheme="majorBidi"/>
          <w:sz w:val="24"/>
          <w:szCs w:val="24"/>
          <w:lang w:val="en-GB"/>
        </w:rPr>
        <w:t>ing</w:t>
      </w:r>
      <w:r w:rsidRPr="00BC434D">
        <w:rPr>
          <w:rFonts w:asciiTheme="majorBidi" w:hAnsiTheme="majorBidi" w:cstheme="majorBidi"/>
          <w:sz w:val="24"/>
          <w:szCs w:val="24"/>
          <w:lang w:val="en-GB"/>
        </w:rPr>
        <w:t xml:space="preserve"> a view of the </w:t>
      </w:r>
      <w:r w:rsidRPr="00BC434D">
        <w:rPr>
          <w:rFonts w:asciiTheme="majorBidi" w:hAnsiTheme="majorBidi" w:cstheme="majorBidi"/>
          <w:sz w:val="24"/>
          <w:szCs w:val="24"/>
          <w:cs/>
          <w:lang w:val="en-GB"/>
        </w:rPr>
        <w:t>‎</w:t>
      </w:r>
      <w:r w:rsidRPr="00BC434D">
        <w:rPr>
          <w:rFonts w:asciiTheme="majorBidi" w:hAnsiTheme="majorBidi" w:cstheme="majorBidi"/>
          <w:sz w:val="24"/>
          <w:szCs w:val="24"/>
          <w:lang w:val="en-GB"/>
        </w:rPr>
        <w:t xml:space="preserve">problem and possible ways to mitigate it from the point of view of an </w:t>
      </w:r>
      <w:r w:rsidRPr="00BC434D">
        <w:rPr>
          <w:rFonts w:asciiTheme="majorBidi" w:hAnsiTheme="majorBidi" w:cstheme="majorBidi"/>
          <w:sz w:val="24"/>
          <w:szCs w:val="24"/>
          <w:cs/>
          <w:lang w:val="en-GB"/>
        </w:rPr>
        <w:t>‎</w:t>
      </w:r>
      <w:r w:rsidRPr="00BC434D">
        <w:rPr>
          <w:rFonts w:asciiTheme="majorBidi" w:hAnsiTheme="majorBidi" w:cstheme="majorBidi"/>
          <w:sz w:val="24"/>
          <w:szCs w:val="24"/>
          <w:lang w:val="en-GB"/>
        </w:rPr>
        <w:t xml:space="preserve">approach that includes consideration of </w:t>
      </w:r>
      <w:r w:rsidRPr="00BC434D">
        <w:rPr>
          <w:rFonts w:asciiTheme="majorBidi" w:hAnsiTheme="majorBidi" w:cstheme="majorBidi"/>
          <w:sz w:val="24"/>
          <w:szCs w:val="24"/>
          <w:cs/>
          <w:lang w:val="en-GB"/>
        </w:rPr>
        <w:t>‎</w:t>
      </w:r>
      <w:r w:rsidRPr="00BC434D">
        <w:rPr>
          <w:rFonts w:asciiTheme="majorBidi" w:hAnsiTheme="majorBidi" w:cstheme="majorBidi"/>
          <w:sz w:val="24"/>
          <w:szCs w:val="24"/>
          <w:lang w:val="en-GB"/>
        </w:rPr>
        <w:t xml:space="preserve">related interdependent areas of law: contract and succession </w:t>
      </w:r>
      <w:r w:rsidRPr="00BC434D">
        <w:rPr>
          <w:rFonts w:asciiTheme="majorBidi" w:hAnsiTheme="majorBidi" w:cstheme="majorBidi"/>
          <w:sz w:val="24"/>
          <w:szCs w:val="24"/>
          <w:cs/>
          <w:lang w:val="en-GB"/>
        </w:rPr>
        <w:t>‎</w:t>
      </w:r>
      <w:r w:rsidRPr="00BC434D">
        <w:rPr>
          <w:rFonts w:asciiTheme="majorBidi" w:hAnsiTheme="majorBidi" w:cstheme="majorBidi"/>
          <w:sz w:val="24"/>
          <w:szCs w:val="24"/>
          <w:lang w:val="en-GB"/>
        </w:rPr>
        <w:t xml:space="preserve">law in the light of review and interpretation of the </w:t>
      </w:r>
      <w:r w:rsidRPr="00BC434D">
        <w:rPr>
          <w:rFonts w:asciiTheme="majorBidi" w:hAnsiTheme="majorBidi" w:cstheme="majorBidi"/>
          <w:sz w:val="24"/>
          <w:szCs w:val="24"/>
          <w:cs/>
          <w:lang w:val="en-GB"/>
        </w:rPr>
        <w:t>‎</w:t>
      </w:r>
      <w:r w:rsidRPr="00BC434D">
        <w:rPr>
          <w:rFonts w:asciiTheme="majorBidi" w:hAnsiTheme="majorBidi" w:cstheme="majorBidi"/>
          <w:sz w:val="24"/>
          <w:szCs w:val="24"/>
          <w:lang w:val="en-GB"/>
        </w:rPr>
        <w:t>most recent and significant case law.</w:t>
      </w:r>
      <w:r w:rsidRPr="00BC434D">
        <w:rPr>
          <w:rFonts w:asciiTheme="majorBidi" w:hAnsiTheme="majorBidi" w:cstheme="majorBidi"/>
          <w:sz w:val="24"/>
          <w:szCs w:val="24"/>
          <w:cs/>
          <w:lang w:val="en-GB"/>
        </w:rPr>
        <w:t>‎</w:t>
      </w:r>
    </w:p>
    <w:p w14:paraId="16FAE4C2" w14:textId="08DCCA78" w:rsidR="00ED0499" w:rsidRPr="00BC434D" w:rsidRDefault="00ED0499" w:rsidP="00D848BE">
      <w:pPr>
        <w:pStyle w:val="ListParagraph"/>
        <w:numPr>
          <w:ilvl w:val="0"/>
          <w:numId w:val="13"/>
        </w:numPr>
        <w:spacing w:line="276" w:lineRule="auto"/>
        <w:ind w:left="0"/>
        <w:jc w:val="both"/>
        <w:rPr>
          <w:rFonts w:asciiTheme="majorBidi" w:hAnsiTheme="majorBidi" w:cstheme="majorBidi"/>
          <w:sz w:val="24"/>
          <w:szCs w:val="24"/>
          <w:lang w:val="en-GB"/>
        </w:rPr>
      </w:pPr>
      <w:r w:rsidRPr="00BC434D">
        <w:rPr>
          <w:rFonts w:asciiTheme="majorBidi" w:hAnsiTheme="majorBidi" w:cstheme="majorBidi"/>
          <w:sz w:val="24"/>
          <w:szCs w:val="24"/>
          <w:lang w:val="en-GB"/>
        </w:rPr>
        <w:t xml:space="preserve">Critically </w:t>
      </w:r>
      <w:r w:rsidR="00D87323" w:rsidRPr="00BC434D">
        <w:rPr>
          <w:rFonts w:asciiTheme="majorBidi" w:hAnsiTheme="majorBidi" w:cstheme="majorBidi"/>
          <w:sz w:val="24"/>
          <w:szCs w:val="24"/>
          <w:lang w:val="en-GB"/>
        </w:rPr>
        <w:t>discovering</w:t>
      </w:r>
      <w:r w:rsidRPr="00BC434D">
        <w:rPr>
          <w:rFonts w:asciiTheme="majorBidi" w:hAnsiTheme="majorBidi" w:cstheme="majorBidi"/>
          <w:sz w:val="24"/>
          <w:szCs w:val="24"/>
          <w:lang w:val="en-GB"/>
        </w:rPr>
        <w:t xml:space="preserve"> the approaches of the legal regulators in </w:t>
      </w:r>
      <w:r w:rsidR="00F826CE" w:rsidRPr="00BC434D">
        <w:rPr>
          <w:rFonts w:asciiTheme="majorBidi" w:hAnsiTheme="majorBidi" w:cstheme="majorBidi"/>
          <w:sz w:val="24"/>
          <w:szCs w:val="24"/>
          <w:lang w:val="en-GB"/>
        </w:rPr>
        <w:t xml:space="preserve">3 countries representing different </w:t>
      </w:r>
      <w:r w:rsidR="00114E92" w:rsidRPr="00BC434D">
        <w:rPr>
          <w:rFonts w:asciiTheme="majorBidi" w:hAnsiTheme="majorBidi" w:cstheme="majorBidi"/>
          <w:sz w:val="24"/>
          <w:szCs w:val="24"/>
          <w:lang w:val="en-GB"/>
        </w:rPr>
        <w:t>stances</w:t>
      </w:r>
      <w:r w:rsidR="00F826CE" w:rsidRPr="00BC434D">
        <w:rPr>
          <w:rFonts w:asciiTheme="majorBidi" w:hAnsiTheme="majorBidi" w:cstheme="majorBidi"/>
          <w:sz w:val="24"/>
          <w:szCs w:val="24"/>
          <w:lang w:val="en-GB"/>
        </w:rPr>
        <w:t xml:space="preserve"> on the issue and </w:t>
      </w:r>
      <w:r w:rsidR="00D87323" w:rsidRPr="00BC434D">
        <w:rPr>
          <w:rFonts w:asciiTheme="majorBidi" w:hAnsiTheme="majorBidi" w:cstheme="majorBidi"/>
          <w:sz w:val="24"/>
          <w:szCs w:val="24"/>
          <w:lang w:val="en-GB"/>
        </w:rPr>
        <w:t xml:space="preserve">evaluating the probability </w:t>
      </w:r>
      <w:r w:rsidR="009F4FF7" w:rsidRPr="00BC434D">
        <w:rPr>
          <w:rFonts w:asciiTheme="majorBidi" w:hAnsiTheme="majorBidi" w:cstheme="majorBidi"/>
          <w:sz w:val="24"/>
          <w:szCs w:val="24"/>
          <w:lang w:val="en-GB"/>
        </w:rPr>
        <w:t xml:space="preserve">of the </w:t>
      </w:r>
      <w:r w:rsidR="00E26F53" w:rsidRPr="00BC434D">
        <w:rPr>
          <w:rFonts w:asciiTheme="majorBidi" w:hAnsiTheme="majorBidi" w:cstheme="majorBidi"/>
          <w:sz w:val="24"/>
          <w:szCs w:val="24"/>
          <w:lang w:val="en-GB"/>
        </w:rPr>
        <w:t xml:space="preserve">possible EU-level </w:t>
      </w:r>
      <w:r w:rsidR="00147728" w:rsidRPr="00BC434D">
        <w:rPr>
          <w:rFonts w:asciiTheme="majorBidi" w:hAnsiTheme="majorBidi" w:cstheme="majorBidi"/>
          <w:sz w:val="24"/>
          <w:szCs w:val="24"/>
          <w:lang w:val="en-GB"/>
        </w:rPr>
        <w:t>harmonisation</w:t>
      </w:r>
      <w:r w:rsidR="00E26F53" w:rsidRPr="00BC434D">
        <w:rPr>
          <w:rFonts w:asciiTheme="majorBidi" w:hAnsiTheme="majorBidi" w:cstheme="majorBidi"/>
          <w:sz w:val="24"/>
          <w:szCs w:val="24"/>
          <w:lang w:val="en-GB"/>
        </w:rPr>
        <w:t xml:space="preserve"> and possible harmonisation</w:t>
      </w:r>
      <w:r w:rsidR="009F4FF7" w:rsidRPr="00BC434D">
        <w:rPr>
          <w:rFonts w:asciiTheme="majorBidi" w:hAnsiTheme="majorBidi" w:cstheme="majorBidi"/>
          <w:sz w:val="24"/>
          <w:szCs w:val="24"/>
          <w:lang w:val="en-GB"/>
        </w:rPr>
        <w:t xml:space="preserve"> issues</w:t>
      </w:r>
      <w:r w:rsidR="00E26F53" w:rsidRPr="00BC434D">
        <w:rPr>
          <w:rFonts w:asciiTheme="majorBidi" w:hAnsiTheme="majorBidi" w:cstheme="majorBidi"/>
          <w:sz w:val="24"/>
          <w:szCs w:val="24"/>
          <w:lang w:val="en-GB"/>
        </w:rPr>
        <w:t xml:space="preserve">. </w:t>
      </w:r>
    </w:p>
    <w:p w14:paraId="2524D04D" w14:textId="2F337FAA" w:rsidR="00221432" w:rsidRPr="00BC434D" w:rsidRDefault="00221432" w:rsidP="00D848BE">
      <w:pPr>
        <w:spacing w:line="276" w:lineRule="auto"/>
        <w:jc w:val="both"/>
        <w:rPr>
          <w:rFonts w:asciiTheme="majorBidi" w:hAnsiTheme="majorBidi" w:cstheme="majorBidi"/>
          <w:sz w:val="24"/>
          <w:szCs w:val="24"/>
          <w:cs/>
          <w:lang w:val="en-GB"/>
        </w:rPr>
      </w:pPr>
      <w:r w:rsidRPr="00BC434D">
        <w:rPr>
          <w:rFonts w:asciiTheme="majorBidi" w:hAnsiTheme="majorBidi" w:cstheme="majorBidi"/>
          <w:sz w:val="24"/>
          <w:szCs w:val="24"/>
          <w:lang w:val="en-GB"/>
        </w:rPr>
        <w:t xml:space="preserve">This research considers only types of property related to the </w:t>
      </w:r>
      <w:r w:rsidR="00F04B3B"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personality of the legal </w:t>
      </w:r>
      <w:r w:rsidR="00F04B3B" w:rsidRPr="00BC434D">
        <w:rPr>
          <w:rFonts w:asciiTheme="majorBidi" w:hAnsiTheme="majorBidi" w:cstheme="majorBidi"/>
          <w:sz w:val="24"/>
          <w:szCs w:val="24"/>
          <w:lang w:val="en-GB"/>
        </w:rPr>
        <w:t>predecessor” criteria</w:t>
      </w:r>
      <w:r w:rsidRPr="00BC434D">
        <w:rPr>
          <w:rFonts w:asciiTheme="majorBidi" w:hAnsiTheme="majorBidi" w:cstheme="majorBidi"/>
          <w:sz w:val="24"/>
          <w:szCs w:val="24"/>
          <w:lang w:val="en-GB"/>
        </w:rPr>
        <w:t xml:space="preserve">, thus not </w:t>
      </w:r>
      <w:r w:rsidRPr="00BC434D">
        <w:rPr>
          <w:rFonts w:asciiTheme="majorBidi" w:hAnsiTheme="majorBidi" w:cstheme="majorBidi"/>
          <w:sz w:val="24"/>
          <w:szCs w:val="24"/>
          <w:cs/>
          <w:lang w:val="en-GB"/>
        </w:rPr>
        <w:t>‎</w:t>
      </w:r>
      <w:r w:rsidRPr="00BC434D">
        <w:rPr>
          <w:rFonts w:asciiTheme="majorBidi" w:hAnsiTheme="majorBidi" w:cstheme="majorBidi"/>
          <w:sz w:val="24"/>
          <w:szCs w:val="24"/>
          <w:lang w:val="en-GB"/>
        </w:rPr>
        <w:t xml:space="preserve">taking into account the intellectual property rights regimes’ applications towards the goods within certain accounts. </w:t>
      </w:r>
      <w:r w:rsidRPr="00BC434D">
        <w:rPr>
          <w:rFonts w:asciiTheme="majorBidi" w:hAnsiTheme="majorBidi" w:cstheme="majorBidi"/>
          <w:sz w:val="24"/>
          <w:szCs w:val="24"/>
          <w:cs/>
          <w:lang w:val="en-GB"/>
        </w:rPr>
        <w:t>‎</w:t>
      </w:r>
      <w:r w:rsidRPr="00BC434D">
        <w:rPr>
          <w:rFonts w:asciiTheme="majorBidi" w:hAnsiTheme="majorBidi" w:cstheme="majorBidi"/>
          <w:sz w:val="24"/>
          <w:szCs w:val="24"/>
          <w:lang w:val="en-GB"/>
        </w:rPr>
        <w:t xml:space="preserve">The conditional </w:t>
      </w:r>
      <w:r w:rsidR="00F04B3B" w:rsidRPr="00BC434D">
        <w:rPr>
          <w:rFonts w:asciiTheme="majorBidi" w:hAnsiTheme="majorBidi" w:cstheme="majorBidi"/>
          <w:sz w:val="24"/>
          <w:szCs w:val="24"/>
          <w:lang w:val="en-GB"/>
        </w:rPr>
        <w:t>categorisation</w:t>
      </w:r>
      <w:r w:rsidRPr="00BC434D">
        <w:rPr>
          <w:rFonts w:asciiTheme="majorBidi" w:hAnsiTheme="majorBidi" w:cstheme="majorBidi"/>
          <w:sz w:val="24"/>
          <w:szCs w:val="24"/>
          <w:lang w:val="en-GB"/>
        </w:rPr>
        <w:t xml:space="preserve"> of the accounts on private and public ones based on the criteria of economic and </w:t>
      </w:r>
      <w:r w:rsidRPr="00BC434D">
        <w:rPr>
          <w:rFonts w:asciiTheme="majorBidi" w:hAnsiTheme="majorBidi" w:cstheme="majorBidi"/>
          <w:sz w:val="24"/>
          <w:szCs w:val="24"/>
          <w:cs/>
          <w:lang w:val="en-GB"/>
        </w:rPr>
        <w:t>‎</w:t>
      </w:r>
      <w:r w:rsidRPr="00BC434D">
        <w:rPr>
          <w:rFonts w:asciiTheme="majorBidi" w:hAnsiTheme="majorBidi" w:cstheme="majorBidi"/>
          <w:sz w:val="24"/>
          <w:szCs w:val="24"/>
          <w:lang w:val="en-GB"/>
        </w:rPr>
        <w:t>public value may be sufficient</w:t>
      </w:r>
      <w:r w:rsidR="00784F5E" w:rsidRPr="00BC434D">
        <w:rPr>
          <w:rFonts w:asciiTheme="majorBidi" w:hAnsiTheme="majorBidi" w:cstheme="majorBidi"/>
          <w:sz w:val="24"/>
          <w:szCs w:val="24"/>
          <w:lang w:val="en-GB"/>
        </w:rPr>
        <w:t xml:space="preserve"> for </w:t>
      </w:r>
      <w:r w:rsidR="00466975" w:rsidRPr="00BC434D">
        <w:rPr>
          <w:rFonts w:asciiTheme="majorBidi" w:hAnsiTheme="majorBidi" w:cstheme="majorBidi"/>
          <w:sz w:val="24"/>
          <w:szCs w:val="24"/>
          <w:lang w:val="en-GB"/>
        </w:rPr>
        <w:t>further research.</w:t>
      </w:r>
    </w:p>
    <w:p w14:paraId="6ACA4B8F" w14:textId="20C094B6" w:rsidR="00F60A54" w:rsidRPr="00BC434D" w:rsidRDefault="00F60A54"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cs/>
          <w:lang w:val="en-GB"/>
        </w:rPr>
        <w:t xml:space="preserve">The research mainly concentrates on the </w:t>
      </w:r>
      <w:r w:rsidR="001D05E0" w:rsidRPr="00BC434D">
        <w:rPr>
          <w:rFonts w:asciiTheme="majorBidi" w:hAnsiTheme="majorBidi" w:cstheme="majorBidi"/>
          <w:sz w:val="24"/>
          <w:szCs w:val="24"/>
          <w:cs/>
          <w:lang w:val="en-GB"/>
        </w:rPr>
        <w:t xml:space="preserve">general </w:t>
      </w:r>
      <w:r w:rsidR="00466975" w:rsidRPr="00BC434D">
        <w:rPr>
          <w:rFonts w:asciiTheme="majorBidi" w:hAnsiTheme="majorBidi" w:cstheme="majorBidi"/>
          <w:sz w:val="24"/>
          <w:szCs w:val="24"/>
          <w:cs/>
          <w:lang w:val="en-GB"/>
        </w:rPr>
        <w:t>conceptualisation</w:t>
      </w:r>
      <w:r w:rsidR="001D05E0" w:rsidRPr="00BC434D">
        <w:rPr>
          <w:rFonts w:asciiTheme="majorBidi" w:hAnsiTheme="majorBidi" w:cstheme="majorBidi"/>
          <w:sz w:val="24"/>
          <w:szCs w:val="24"/>
          <w:cs/>
          <w:lang w:val="en-GB"/>
        </w:rPr>
        <w:t xml:space="preserve"> of the </w:t>
      </w:r>
      <w:r w:rsidR="001F72ED" w:rsidRPr="00BC434D">
        <w:rPr>
          <w:rFonts w:asciiTheme="majorBidi" w:hAnsiTheme="majorBidi" w:cstheme="majorBidi"/>
          <w:sz w:val="24"/>
          <w:szCs w:val="24"/>
          <w:cs/>
          <w:lang w:val="en-GB"/>
        </w:rPr>
        <w:t xml:space="preserve">issues related to post-mortem privacy and its regulations, while slightly </w:t>
      </w:r>
      <w:r w:rsidR="00466975" w:rsidRPr="00BC434D">
        <w:rPr>
          <w:rFonts w:asciiTheme="majorBidi" w:hAnsiTheme="majorBidi" w:cstheme="majorBidi"/>
          <w:sz w:val="24"/>
          <w:szCs w:val="24"/>
          <w:cs/>
          <w:lang w:val="en-GB"/>
        </w:rPr>
        <w:t>touching upon the issues of proce</w:t>
      </w:r>
      <w:r w:rsidR="009F0C61" w:rsidRPr="00BC434D">
        <w:rPr>
          <w:rFonts w:asciiTheme="majorBidi" w:hAnsiTheme="majorBidi" w:cstheme="majorBidi"/>
          <w:sz w:val="24"/>
          <w:szCs w:val="24"/>
          <w:cs/>
          <w:lang w:val="en-GB"/>
        </w:rPr>
        <w:t>dural legal regulator-intermediary conduct and cooperation</w:t>
      </w:r>
      <w:r w:rsidR="0097465A" w:rsidRPr="00BC434D">
        <w:rPr>
          <w:rFonts w:asciiTheme="majorBidi" w:hAnsiTheme="majorBidi" w:cstheme="majorBidi"/>
          <w:sz w:val="24"/>
          <w:szCs w:val="24"/>
          <w:cs/>
          <w:lang w:val="en-GB"/>
        </w:rPr>
        <w:t xml:space="preserve">, which requires more </w:t>
      </w:r>
      <w:r w:rsidR="00D81624" w:rsidRPr="00BC434D">
        <w:rPr>
          <w:rFonts w:asciiTheme="majorBidi" w:hAnsiTheme="majorBidi" w:cstheme="majorBidi"/>
          <w:sz w:val="24"/>
          <w:szCs w:val="24"/>
          <w:cs/>
          <w:lang w:val="en-GB"/>
        </w:rPr>
        <w:t xml:space="preserve">careful </w:t>
      </w:r>
      <w:r w:rsidR="0047280D" w:rsidRPr="00BC434D">
        <w:rPr>
          <w:rFonts w:asciiTheme="majorBidi" w:hAnsiTheme="majorBidi" w:cstheme="majorBidi"/>
          <w:sz w:val="24"/>
          <w:szCs w:val="24"/>
          <w:cs/>
          <w:lang w:val="en-GB"/>
        </w:rPr>
        <w:t xml:space="preserve">consideration and discovery as this </w:t>
      </w:r>
      <w:r w:rsidR="006F0574" w:rsidRPr="00BC434D">
        <w:rPr>
          <w:rFonts w:asciiTheme="majorBidi" w:hAnsiTheme="majorBidi" w:cstheme="majorBidi"/>
          <w:sz w:val="24"/>
          <w:szCs w:val="24"/>
          <w:cs/>
          <w:lang w:val="en-GB"/>
        </w:rPr>
        <w:t>factor</w:t>
      </w:r>
      <w:r w:rsidR="0047280D" w:rsidRPr="00BC434D">
        <w:rPr>
          <w:rFonts w:asciiTheme="majorBidi" w:hAnsiTheme="majorBidi" w:cstheme="majorBidi"/>
          <w:sz w:val="24"/>
          <w:szCs w:val="24"/>
          <w:cs/>
          <w:lang w:val="en-GB"/>
        </w:rPr>
        <w:t xml:space="preserve"> is key for the practical </w:t>
      </w:r>
      <w:r w:rsidR="006F0574" w:rsidRPr="00BC434D">
        <w:rPr>
          <w:rFonts w:asciiTheme="majorBidi" w:hAnsiTheme="majorBidi" w:cstheme="majorBidi"/>
          <w:sz w:val="24"/>
          <w:szCs w:val="24"/>
          <w:cs/>
          <w:lang w:val="en-GB"/>
        </w:rPr>
        <w:t>enforcement</w:t>
      </w:r>
      <w:r w:rsidR="0047280D" w:rsidRPr="00BC434D">
        <w:rPr>
          <w:rFonts w:asciiTheme="majorBidi" w:hAnsiTheme="majorBidi" w:cstheme="majorBidi"/>
          <w:sz w:val="24"/>
          <w:szCs w:val="24"/>
          <w:cs/>
          <w:lang w:val="en-GB"/>
        </w:rPr>
        <w:t xml:space="preserve"> </w:t>
      </w:r>
      <w:r w:rsidR="006F0574" w:rsidRPr="00BC434D">
        <w:rPr>
          <w:rFonts w:asciiTheme="majorBidi" w:hAnsiTheme="majorBidi" w:cstheme="majorBidi"/>
          <w:sz w:val="24"/>
          <w:szCs w:val="24"/>
          <w:cs/>
          <w:lang w:val="en-GB"/>
        </w:rPr>
        <w:t xml:space="preserve">aspects. </w:t>
      </w:r>
    </w:p>
    <w:p w14:paraId="517C2311" w14:textId="3567F609" w:rsidR="007A3E7F" w:rsidRPr="00BC434D" w:rsidRDefault="007A3E7F" w:rsidP="00D848BE">
      <w:pPr>
        <w:spacing w:line="276" w:lineRule="auto"/>
        <w:jc w:val="both"/>
        <w:rPr>
          <w:rFonts w:asciiTheme="majorBidi" w:hAnsiTheme="majorBidi" w:cstheme="majorBidi"/>
          <w:sz w:val="24"/>
          <w:szCs w:val="24"/>
          <w:lang w:val="en-GB"/>
        </w:rPr>
      </w:pPr>
      <w:r w:rsidRPr="00BC434D">
        <w:rPr>
          <w:rFonts w:asciiTheme="majorBidi" w:hAnsiTheme="majorBidi" w:cstheme="majorBidi"/>
          <w:sz w:val="24"/>
          <w:szCs w:val="24"/>
          <w:lang w:val="en-GB"/>
        </w:rPr>
        <w:t>The direct recipients of the research and its conclusions are assumed to be the legislator, the regulator</w:t>
      </w:r>
      <w:r w:rsidR="00EE4527" w:rsidRPr="00BC434D">
        <w:rPr>
          <w:rFonts w:asciiTheme="majorBidi" w:hAnsiTheme="majorBidi" w:cstheme="majorBidi"/>
          <w:sz w:val="24"/>
          <w:szCs w:val="24"/>
          <w:lang w:val="en-GB"/>
        </w:rPr>
        <w:t>,</w:t>
      </w:r>
      <w:r w:rsidRPr="00BC434D">
        <w:rPr>
          <w:rFonts w:asciiTheme="majorBidi" w:hAnsiTheme="majorBidi" w:cstheme="majorBidi"/>
          <w:sz w:val="24"/>
          <w:szCs w:val="24"/>
          <w:lang w:val="en-GB"/>
        </w:rPr>
        <w:t xml:space="preserve"> and the </w:t>
      </w:r>
      <w:r w:rsidRPr="00BC434D">
        <w:rPr>
          <w:rFonts w:asciiTheme="majorBidi" w:hAnsiTheme="majorBidi" w:cstheme="majorBidi"/>
          <w:sz w:val="24"/>
          <w:szCs w:val="24"/>
          <w:cs/>
          <w:lang w:val="en-GB"/>
        </w:rPr>
        <w:t>‎</w:t>
      </w:r>
      <w:r w:rsidRPr="00BC434D">
        <w:rPr>
          <w:rFonts w:asciiTheme="majorBidi" w:hAnsiTheme="majorBidi" w:cstheme="majorBidi"/>
          <w:sz w:val="24"/>
          <w:szCs w:val="24"/>
          <w:lang w:val="en-GB"/>
        </w:rPr>
        <w:t xml:space="preserve">intermediaries, that is, the service provider, while the users </w:t>
      </w:r>
      <w:r w:rsidR="00F63738" w:rsidRPr="00BC434D">
        <w:rPr>
          <w:rFonts w:asciiTheme="majorBidi" w:hAnsiTheme="majorBidi" w:cstheme="majorBidi"/>
          <w:sz w:val="24"/>
          <w:szCs w:val="24"/>
          <w:lang w:val="en-GB"/>
        </w:rPr>
        <w:t xml:space="preserve">are presumed to be the </w:t>
      </w:r>
      <w:r w:rsidRPr="00BC434D">
        <w:rPr>
          <w:rFonts w:asciiTheme="majorBidi" w:hAnsiTheme="majorBidi" w:cstheme="majorBidi"/>
          <w:sz w:val="24"/>
          <w:szCs w:val="24"/>
          <w:lang w:val="en-GB"/>
        </w:rPr>
        <w:t>indirect recipient</w:t>
      </w:r>
      <w:r w:rsidR="00F63738" w:rsidRPr="00BC434D">
        <w:rPr>
          <w:rFonts w:asciiTheme="majorBidi" w:hAnsiTheme="majorBidi" w:cstheme="majorBidi"/>
          <w:sz w:val="24"/>
          <w:szCs w:val="24"/>
          <w:lang w:val="en-GB"/>
        </w:rPr>
        <w:t>s</w:t>
      </w:r>
      <w:r w:rsidRPr="00BC434D">
        <w:rPr>
          <w:rFonts w:asciiTheme="majorBidi" w:hAnsiTheme="majorBidi" w:cstheme="majorBidi"/>
          <w:sz w:val="24"/>
          <w:szCs w:val="24"/>
          <w:lang w:val="en-GB"/>
        </w:rPr>
        <w:t xml:space="preserve"> benefiting from their </w:t>
      </w:r>
      <w:r w:rsidRPr="00BC434D">
        <w:rPr>
          <w:rFonts w:asciiTheme="majorBidi" w:hAnsiTheme="majorBidi" w:cstheme="majorBidi"/>
          <w:sz w:val="24"/>
          <w:szCs w:val="24"/>
          <w:cs/>
          <w:lang w:val="en-GB"/>
        </w:rPr>
        <w:t>‎</w:t>
      </w:r>
      <w:r w:rsidRPr="00BC434D">
        <w:rPr>
          <w:rFonts w:asciiTheme="majorBidi" w:hAnsiTheme="majorBidi" w:cstheme="majorBidi"/>
          <w:sz w:val="24"/>
          <w:szCs w:val="24"/>
          <w:lang w:val="en-GB"/>
        </w:rPr>
        <w:t xml:space="preserve">conduct. </w:t>
      </w:r>
      <w:r w:rsidRPr="00BC434D">
        <w:rPr>
          <w:rFonts w:asciiTheme="majorBidi" w:hAnsiTheme="majorBidi" w:cstheme="majorBidi"/>
          <w:sz w:val="24"/>
          <w:szCs w:val="24"/>
          <w:cs/>
          <w:lang w:val="en-GB"/>
        </w:rPr>
        <w:t>‎</w:t>
      </w:r>
    </w:p>
    <w:p w14:paraId="09F0A43E" w14:textId="6FD996CB" w:rsidR="00AB5FBB" w:rsidRPr="00BC434D" w:rsidRDefault="00AB5FBB" w:rsidP="00D848BE">
      <w:pPr>
        <w:spacing w:line="276" w:lineRule="auto"/>
        <w:rPr>
          <w:rFonts w:asciiTheme="majorBidi" w:hAnsiTheme="majorBidi" w:cstheme="majorBidi"/>
          <w:sz w:val="24"/>
          <w:szCs w:val="24"/>
          <w:lang w:val="en-GB"/>
        </w:rPr>
      </w:pPr>
    </w:p>
    <w:p w14:paraId="097AD366" w14:textId="607EEE86" w:rsidR="00AB5FBB" w:rsidRPr="00BC434D" w:rsidRDefault="00AB5FBB" w:rsidP="00D848BE">
      <w:pPr>
        <w:spacing w:line="276" w:lineRule="auto"/>
        <w:rPr>
          <w:rFonts w:asciiTheme="majorBidi" w:hAnsiTheme="majorBidi" w:cstheme="majorBidi"/>
          <w:sz w:val="24"/>
          <w:szCs w:val="24"/>
          <w:lang w:val="en-GB"/>
        </w:rPr>
      </w:pPr>
    </w:p>
    <w:p w14:paraId="00916C04" w14:textId="65E9870E" w:rsidR="004342B4" w:rsidRPr="00BC434D" w:rsidRDefault="004342B4" w:rsidP="00D848BE">
      <w:pPr>
        <w:spacing w:line="276" w:lineRule="auto"/>
        <w:rPr>
          <w:rFonts w:asciiTheme="majorBidi" w:hAnsiTheme="majorBidi" w:cstheme="majorBidi"/>
          <w:sz w:val="24"/>
          <w:szCs w:val="24"/>
          <w:lang w:val="en-GB"/>
        </w:rPr>
      </w:pPr>
    </w:p>
    <w:p w14:paraId="4AEF075E" w14:textId="4EFA79F0" w:rsidR="004342B4" w:rsidRPr="00BC434D" w:rsidRDefault="004342B4" w:rsidP="00D848BE">
      <w:pPr>
        <w:spacing w:line="276" w:lineRule="auto"/>
        <w:rPr>
          <w:rFonts w:asciiTheme="majorBidi" w:hAnsiTheme="majorBidi" w:cstheme="majorBidi"/>
          <w:sz w:val="24"/>
          <w:szCs w:val="24"/>
          <w:lang w:val="en-GB"/>
        </w:rPr>
      </w:pPr>
    </w:p>
    <w:p w14:paraId="7A24CF64" w14:textId="71351C0C" w:rsidR="004342B4" w:rsidRPr="00BC434D" w:rsidRDefault="004342B4" w:rsidP="00D848BE">
      <w:pPr>
        <w:spacing w:line="276" w:lineRule="auto"/>
        <w:rPr>
          <w:rFonts w:asciiTheme="majorBidi" w:hAnsiTheme="majorBidi" w:cstheme="majorBidi"/>
          <w:sz w:val="24"/>
          <w:szCs w:val="24"/>
          <w:lang w:val="en-GB"/>
        </w:rPr>
      </w:pPr>
    </w:p>
    <w:p w14:paraId="1D81E7C8" w14:textId="1BA59B08" w:rsidR="004342B4" w:rsidRPr="00BC434D" w:rsidRDefault="004342B4" w:rsidP="00D848BE">
      <w:pPr>
        <w:spacing w:line="276" w:lineRule="auto"/>
        <w:rPr>
          <w:rFonts w:asciiTheme="majorBidi" w:hAnsiTheme="majorBidi" w:cstheme="majorBidi"/>
          <w:sz w:val="24"/>
          <w:szCs w:val="24"/>
          <w:lang w:val="en-GB"/>
        </w:rPr>
      </w:pPr>
    </w:p>
    <w:p w14:paraId="3B393E4D" w14:textId="54B7FE6C" w:rsidR="004342B4" w:rsidRPr="00BC434D" w:rsidRDefault="004342B4" w:rsidP="00D848BE">
      <w:pPr>
        <w:spacing w:line="276" w:lineRule="auto"/>
        <w:rPr>
          <w:rFonts w:asciiTheme="majorBidi" w:hAnsiTheme="majorBidi" w:cstheme="majorBidi"/>
          <w:sz w:val="24"/>
          <w:szCs w:val="24"/>
          <w:lang w:val="en-GB"/>
        </w:rPr>
      </w:pPr>
    </w:p>
    <w:p w14:paraId="31A8603C" w14:textId="77777777" w:rsidR="007F7DE8" w:rsidRPr="00BC434D" w:rsidRDefault="007F7DE8" w:rsidP="00D848BE">
      <w:pPr>
        <w:spacing w:line="276" w:lineRule="auto"/>
        <w:rPr>
          <w:rFonts w:asciiTheme="majorBidi" w:hAnsiTheme="majorBidi" w:cstheme="majorBidi"/>
          <w:sz w:val="24"/>
          <w:szCs w:val="24"/>
          <w:lang w:val="en-GB"/>
        </w:rPr>
      </w:pPr>
    </w:p>
    <w:p w14:paraId="5803AA9D" w14:textId="77777777" w:rsidR="00E5137A" w:rsidRDefault="00E5137A" w:rsidP="00D848BE">
      <w:pPr>
        <w:spacing w:line="276" w:lineRule="auto"/>
        <w:rPr>
          <w:rFonts w:asciiTheme="majorBidi" w:hAnsiTheme="majorBidi" w:cstheme="majorBidi"/>
          <w:sz w:val="24"/>
          <w:szCs w:val="24"/>
          <w:lang w:val="en-GB"/>
        </w:rPr>
      </w:pPr>
    </w:p>
    <w:p w14:paraId="4581ED9A" w14:textId="77777777" w:rsidR="00BC434D" w:rsidRDefault="00BC434D" w:rsidP="00D848BE">
      <w:pPr>
        <w:spacing w:line="276" w:lineRule="auto"/>
        <w:rPr>
          <w:rFonts w:asciiTheme="majorBidi" w:hAnsiTheme="majorBidi" w:cstheme="majorBidi"/>
          <w:sz w:val="24"/>
          <w:szCs w:val="24"/>
          <w:lang w:val="en-GB"/>
        </w:rPr>
      </w:pPr>
    </w:p>
    <w:p w14:paraId="1EE658BF" w14:textId="77777777" w:rsidR="00BC434D" w:rsidRDefault="00BC434D" w:rsidP="00D848BE">
      <w:pPr>
        <w:spacing w:line="276" w:lineRule="auto"/>
        <w:rPr>
          <w:rFonts w:asciiTheme="majorBidi" w:hAnsiTheme="majorBidi" w:cstheme="majorBidi"/>
          <w:sz w:val="24"/>
          <w:szCs w:val="24"/>
          <w:lang w:val="en-GB"/>
        </w:rPr>
      </w:pPr>
    </w:p>
    <w:p w14:paraId="1574CEDB" w14:textId="77777777" w:rsidR="00BC434D" w:rsidRDefault="00BC434D" w:rsidP="00D848BE">
      <w:pPr>
        <w:spacing w:line="276" w:lineRule="auto"/>
        <w:rPr>
          <w:rFonts w:asciiTheme="majorBidi" w:hAnsiTheme="majorBidi" w:cstheme="majorBidi"/>
          <w:sz w:val="24"/>
          <w:szCs w:val="24"/>
          <w:lang w:val="en-GB"/>
        </w:rPr>
      </w:pPr>
    </w:p>
    <w:p w14:paraId="057CDEC9" w14:textId="77777777" w:rsidR="00BC434D" w:rsidRDefault="00BC434D" w:rsidP="00D848BE">
      <w:pPr>
        <w:spacing w:line="276" w:lineRule="auto"/>
        <w:rPr>
          <w:rFonts w:asciiTheme="majorBidi" w:hAnsiTheme="majorBidi" w:cstheme="majorBidi"/>
          <w:sz w:val="24"/>
          <w:szCs w:val="24"/>
          <w:lang w:val="en-GB"/>
        </w:rPr>
      </w:pPr>
    </w:p>
    <w:p w14:paraId="7842D55B" w14:textId="77777777" w:rsidR="00BC434D" w:rsidRDefault="00BC434D" w:rsidP="00D848BE">
      <w:pPr>
        <w:spacing w:line="276" w:lineRule="auto"/>
        <w:rPr>
          <w:rFonts w:asciiTheme="majorBidi" w:hAnsiTheme="majorBidi" w:cstheme="majorBidi"/>
          <w:sz w:val="24"/>
          <w:szCs w:val="24"/>
          <w:lang w:val="en-GB"/>
        </w:rPr>
      </w:pPr>
    </w:p>
    <w:p w14:paraId="09058596" w14:textId="77777777" w:rsidR="00D848BE" w:rsidRDefault="00D848BE" w:rsidP="00D848BE">
      <w:pPr>
        <w:spacing w:line="276" w:lineRule="auto"/>
        <w:rPr>
          <w:rFonts w:asciiTheme="majorBidi" w:hAnsiTheme="majorBidi" w:cstheme="majorBidi"/>
          <w:sz w:val="24"/>
          <w:szCs w:val="24"/>
          <w:lang w:val="en-GB"/>
        </w:rPr>
      </w:pPr>
    </w:p>
    <w:p w14:paraId="468CD135" w14:textId="77777777" w:rsidR="00D848BE" w:rsidRDefault="00D848BE" w:rsidP="00D848BE">
      <w:pPr>
        <w:spacing w:line="276" w:lineRule="auto"/>
        <w:rPr>
          <w:rFonts w:asciiTheme="majorBidi" w:hAnsiTheme="majorBidi" w:cstheme="majorBidi"/>
          <w:sz w:val="24"/>
          <w:szCs w:val="24"/>
          <w:lang w:val="en-GB"/>
        </w:rPr>
      </w:pPr>
    </w:p>
    <w:p w14:paraId="5494203F" w14:textId="77777777" w:rsidR="00D848BE" w:rsidRDefault="00D848BE" w:rsidP="00D848BE">
      <w:pPr>
        <w:spacing w:line="276" w:lineRule="auto"/>
        <w:rPr>
          <w:rFonts w:asciiTheme="majorBidi" w:hAnsiTheme="majorBidi" w:cstheme="majorBidi"/>
          <w:sz w:val="24"/>
          <w:szCs w:val="24"/>
          <w:lang w:val="en-GB"/>
        </w:rPr>
      </w:pPr>
    </w:p>
    <w:p w14:paraId="68C84999" w14:textId="77777777" w:rsidR="00D848BE" w:rsidRDefault="00D848BE" w:rsidP="00D848BE">
      <w:pPr>
        <w:spacing w:line="276" w:lineRule="auto"/>
        <w:rPr>
          <w:rFonts w:asciiTheme="majorBidi" w:hAnsiTheme="majorBidi" w:cstheme="majorBidi"/>
          <w:sz w:val="24"/>
          <w:szCs w:val="24"/>
          <w:lang w:val="en-GB"/>
        </w:rPr>
      </w:pPr>
    </w:p>
    <w:p w14:paraId="12FBBAC4" w14:textId="77777777" w:rsidR="00BC434D" w:rsidRPr="00BC434D" w:rsidRDefault="00BC434D" w:rsidP="00D848BE">
      <w:pPr>
        <w:spacing w:line="276" w:lineRule="auto"/>
        <w:rPr>
          <w:rFonts w:asciiTheme="majorBidi" w:hAnsiTheme="majorBidi" w:cstheme="majorBidi"/>
          <w:sz w:val="24"/>
          <w:szCs w:val="24"/>
          <w:lang w:val="en-GB"/>
        </w:rPr>
      </w:pPr>
    </w:p>
    <w:p w14:paraId="67F10931" w14:textId="409F49D4" w:rsidR="002E26F4" w:rsidRPr="00BC434D" w:rsidRDefault="00BC434D" w:rsidP="00D848BE">
      <w:pPr>
        <w:pStyle w:val="Heading1"/>
        <w:spacing w:line="276" w:lineRule="auto"/>
        <w:rPr>
          <w:rFonts w:asciiTheme="majorBidi" w:hAnsiTheme="majorBidi"/>
          <w:b/>
          <w:bCs/>
          <w:color w:val="auto"/>
          <w:sz w:val="24"/>
          <w:szCs w:val="24"/>
          <w:lang w:val="en-GB"/>
        </w:rPr>
      </w:pPr>
      <w:r>
        <w:rPr>
          <w:rFonts w:asciiTheme="majorBidi" w:hAnsiTheme="majorBidi"/>
          <w:b/>
          <w:bCs/>
          <w:color w:val="auto"/>
          <w:sz w:val="24"/>
          <w:szCs w:val="24"/>
          <w:lang w:val="en-GB"/>
        </w:rPr>
        <w:t>Bibliography</w:t>
      </w:r>
      <w:r w:rsidR="00FF31C8">
        <w:rPr>
          <w:rFonts w:asciiTheme="majorBidi" w:hAnsiTheme="majorBidi"/>
          <w:b/>
          <w:bCs/>
          <w:color w:val="auto"/>
          <w:sz w:val="24"/>
          <w:szCs w:val="24"/>
          <w:lang w:val="en-GB"/>
        </w:rPr>
        <w:t>/References</w:t>
      </w:r>
      <w:r>
        <w:rPr>
          <w:rFonts w:asciiTheme="majorBidi" w:hAnsiTheme="majorBidi"/>
          <w:b/>
          <w:bCs/>
          <w:color w:val="auto"/>
          <w:sz w:val="24"/>
          <w:szCs w:val="24"/>
          <w:lang w:val="en-GB"/>
        </w:rPr>
        <w:t>:</w:t>
      </w:r>
    </w:p>
    <w:p w14:paraId="3EE4E488" w14:textId="68E9CAF4" w:rsidR="00C80E0E" w:rsidRPr="00C80E0E" w:rsidRDefault="00C80E0E" w:rsidP="00C80E0E">
      <w:pPr>
        <w:pStyle w:val="ListParagraph"/>
        <w:numPr>
          <w:ilvl w:val="0"/>
          <w:numId w:val="19"/>
        </w:numPr>
        <w:rPr>
          <w:rFonts w:asciiTheme="majorBidi" w:eastAsiaTheme="minorHAnsi" w:hAnsiTheme="majorBidi" w:cstheme="majorBidi"/>
          <w:sz w:val="24"/>
          <w:szCs w:val="24"/>
          <w:lang w:val="de-DE"/>
        </w:rPr>
      </w:pPr>
      <w:r w:rsidRPr="00C80E0E">
        <w:rPr>
          <w:rFonts w:asciiTheme="majorBidi" w:eastAsiaTheme="minorHAnsi" w:hAnsiTheme="majorBidi" w:cstheme="majorBidi"/>
          <w:sz w:val="24"/>
          <w:szCs w:val="24"/>
          <w:lang w:val="de-DE"/>
        </w:rPr>
        <w:t>Bundesgerichtshof: BGH III ZR 183/17, ECLI: DE: BGH: 2018: 120718UIIIZR183.17.0</w:t>
      </w:r>
    </w:p>
    <w:p w14:paraId="4E4A4549" w14:textId="527DCB16" w:rsidR="001B0A36" w:rsidRDefault="001B0A36" w:rsidP="00D848BE">
      <w:pPr>
        <w:pStyle w:val="FootnoteText"/>
        <w:numPr>
          <w:ilvl w:val="0"/>
          <w:numId w:val="19"/>
        </w:numPr>
        <w:spacing w:line="276" w:lineRule="auto"/>
        <w:rPr>
          <w:rFonts w:asciiTheme="majorBidi" w:hAnsiTheme="majorBidi" w:cstheme="majorBidi"/>
          <w:sz w:val="24"/>
          <w:szCs w:val="24"/>
          <w:lang w:val="en-US"/>
        </w:rPr>
      </w:pPr>
      <w:r w:rsidRPr="00BC434D">
        <w:rPr>
          <w:rFonts w:asciiTheme="majorBidi" w:hAnsiTheme="majorBidi" w:cstheme="majorBidi"/>
          <w:sz w:val="24"/>
          <w:szCs w:val="24"/>
          <w:lang w:val="en-US"/>
        </w:rPr>
        <w:t>Buitelaar, Jan</w:t>
      </w:r>
      <w:r>
        <w:rPr>
          <w:rFonts w:asciiTheme="majorBidi" w:hAnsiTheme="majorBidi" w:cstheme="majorBidi"/>
          <w:sz w:val="24"/>
          <w:szCs w:val="24"/>
          <w:lang w:val="en-US"/>
        </w:rPr>
        <w:t>,</w:t>
      </w:r>
      <w:r w:rsidRPr="00BC434D">
        <w:rPr>
          <w:rFonts w:asciiTheme="majorBidi" w:hAnsiTheme="majorBidi" w:cstheme="majorBidi"/>
          <w:sz w:val="24"/>
          <w:szCs w:val="24"/>
          <w:lang w:val="en-US"/>
        </w:rPr>
        <w:t xml:space="preserve"> “Post-mortem privacy and informational self-determination” in </w:t>
      </w:r>
      <w:r w:rsidRPr="00BC434D">
        <w:rPr>
          <w:rFonts w:asciiTheme="majorBidi" w:hAnsiTheme="majorBidi" w:cstheme="majorBidi"/>
          <w:i/>
          <w:iCs/>
          <w:sz w:val="24"/>
          <w:szCs w:val="24"/>
          <w:lang w:val="en-US"/>
        </w:rPr>
        <w:t>Ethics and Information Technology, vol. 19(2),</w:t>
      </w:r>
      <w:r w:rsidRPr="00BC434D">
        <w:rPr>
          <w:rFonts w:asciiTheme="majorBidi" w:hAnsiTheme="majorBidi" w:cstheme="majorBidi"/>
          <w:sz w:val="24"/>
          <w:szCs w:val="24"/>
          <w:lang w:val="en-US"/>
        </w:rPr>
        <w:t xml:space="preserve"> 2017</w:t>
      </w:r>
      <w:r>
        <w:rPr>
          <w:rFonts w:asciiTheme="majorBidi" w:hAnsiTheme="majorBidi" w:cstheme="majorBidi"/>
          <w:sz w:val="24"/>
          <w:szCs w:val="24"/>
          <w:lang w:val="en-US"/>
        </w:rPr>
        <w:t>.</w:t>
      </w:r>
    </w:p>
    <w:p w14:paraId="1250D059" w14:textId="77777777" w:rsidR="001B0A36" w:rsidRDefault="001B0A36" w:rsidP="00D848BE">
      <w:pPr>
        <w:pStyle w:val="FootnoteText"/>
        <w:numPr>
          <w:ilvl w:val="0"/>
          <w:numId w:val="19"/>
        </w:numPr>
        <w:spacing w:line="276" w:lineRule="auto"/>
        <w:rPr>
          <w:rFonts w:asciiTheme="majorBidi" w:hAnsiTheme="majorBidi" w:cstheme="majorBidi"/>
          <w:sz w:val="24"/>
          <w:szCs w:val="24"/>
          <w:lang w:val="en-US"/>
        </w:rPr>
      </w:pPr>
      <w:r w:rsidRPr="00BC434D">
        <w:rPr>
          <w:rFonts w:asciiTheme="majorBidi" w:hAnsiTheme="majorBidi" w:cstheme="majorBidi"/>
          <w:sz w:val="24"/>
          <w:szCs w:val="24"/>
          <w:lang w:val="en-US"/>
        </w:rPr>
        <w:t>Buitelaar, Jan</w:t>
      </w:r>
      <w:r>
        <w:rPr>
          <w:rFonts w:asciiTheme="majorBidi" w:hAnsiTheme="majorBidi" w:cstheme="majorBidi"/>
          <w:sz w:val="24"/>
          <w:szCs w:val="24"/>
          <w:lang w:val="en-US"/>
        </w:rPr>
        <w:t>,</w:t>
      </w:r>
      <w:r w:rsidRPr="00BC434D">
        <w:rPr>
          <w:rFonts w:asciiTheme="majorBidi" w:hAnsiTheme="majorBidi" w:cstheme="majorBidi"/>
          <w:sz w:val="24"/>
          <w:szCs w:val="24"/>
          <w:lang w:val="en-US"/>
        </w:rPr>
        <w:t xml:space="preserve"> “Privacy: Back to the roots” in </w:t>
      </w:r>
      <w:r w:rsidRPr="00BC434D">
        <w:rPr>
          <w:rFonts w:asciiTheme="majorBidi" w:hAnsiTheme="majorBidi" w:cstheme="majorBidi"/>
          <w:i/>
          <w:iCs/>
          <w:sz w:val="24"/>
          <w:szCs w:val="24"/>
          <w:lang w:val="en-US"/>
        </w:rPr>
        <w:t>German Law Journal</w:t>
      </w:r>
      <w:r w:rsidRPr="00BC434D">
        <w:rPr>
          <w:rFonts w:asciiTheme="majorBidi" w:hAnsiTheme="majorBidi" w:cstheme="majorBidi"/>
          <w:sz w:val="24"/>
          <w:szCs w:val="24"/>
          <w:lang w:val="en-US"/>
        </w:rPr>
        <w:t>, vol. 13, 2012</w:t>
      </w:r>
      <w:r>
        <w:rPr>
          <w:rFonts w:asciiTheme="majorBidi" w:hAnsiTheme="majorBidi" w:cstheme="majorBidi"/>
          <w:sz w:val="24"/>
          <w:szCs w:val="24"/>
          <w:lang w:val="en-US"/>
        </w:rPr>
        <w:t>.</w:t>
      </w:r>
    </w:p>
    <w:p w14:paraId="41559D1B" w14:textId="77777777" w:rsidR="001B0A36" w:rsidRDefault="001B0A36" w:rsidP="00D848BE">
      <w:pPr>
        <w:pStyle w:val="FootnoteText"/>
        <w:numPr>
          <w:ilvl w:val="0"/>
          <w:numId w:val="19"/>
        </w:numPr>
        <w:spacing w:line="276" w:lineRule="auto"/>
        <w:rPr>
          <w:rFonts w:asciiTheme="majorBidi" w:hAnsiTheme="majorBidi" w:cstheme="majorBidi"/>
          <w:sz w:val="24"/>
          <w:szCs w:val="24"/>
          <w:lang w:val="en-US"/>
        </w:rPr>
      </w:pPr>
      <w:r w:rsidRPr="00BC434D">
        <w:rPr>
          <w:rFonts w:asciiTheme="majorBidi" w:hAnsiTheme="majorBidi" w:cstheme="majorBidi"/>
          <w:sz w:val="24"/>
          <w:szCs w:val="24"/>
          <w:lang w:val="en-US"/>
        </w:rPr>
        <w:t>Decreto legislativo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w:t>
      </w:r>
    </w:p>
    <w:p w14:paraId="0C78E62F" w14:textId="77777777" w:rsidR="001B0A36" w:rsidRDefault="001B0A36" w:rsidP="00D848BE">
      <w:pPr>
        <w:pStyle w:val="FootnoteText"/>
        <w:numPr>
          <w:ilvl w:val="0"/>
          <w:numId w:val="19"/>
        </w:numPr>
        <w:spacing w:line="276" w:lineRule="auto"/>
        <w:rPr>
          <w:rFonts w:asciiTheme="majorBidi" w:hAnsiTheme="majorBidi" w:cstheme="majorBidi"/>
          <w:sz w:val="24"/>
          <w:szCs w:val="24"/>
          <w:lang w:val="en-US"/>
        </w:rPr>
      </w:pPr>
      <w:r w:rsidRPr="00BC434D">
        <w:rPr>
          <w:rFonts w:asciiTheme="majorBidi" w:hAnsiTheme="majorBidi" w:cstheme="majorBidi"/>
          <w:sz w:val="24"/>
          <w:szCs w:val="24"/>
          <w:lang w:val="en-US"/>
        </w:rPr>
        <w:t>Edwards, Lilian</w:t>
      </w:r>
      <w:r>
        <w:rPr>
          <w:rFonts w:asciiTheme="majorBidi" w:hAnsiTheme="majorBidi" w:cstheme="majorBidi"/>
          <w:sz w:val="24"/>
          <w:szCs w:val="24"/>
          <w:lang w:val="en-US"/>
        </w:rPr>
        <w:t>;</w:t>
      </w:r>
      <w:r w:rsidRPr="00BC434D">
        <w:rPr>
          <w:rFonts w:asciiTheme="majorBidi" w:hAnsiTheme="majorBidi" w:cstheme="majorBidi"/>
          <w:sz w:val="24"/>
          <w:szCs w:val="24"/>
          <w:lang w:val="en-US"/>
        </w:rPr>
        <w:t xml:space="preserve"> Edina Harbina, “Protecting post-mortem privacy: Reconsidering the privacy interests of the deceased in a digital world” in </w:t>
      </w:r>
      <w:r w:rsidRPr="00BC434D">
        <w:rPr>
          <w:rFonts w:asciiTheme="majorBidi" w:hAnsiTheme="majorBidi" w:cstheme="majorBidi"/>
          <w:i/>
          <w:iCs/>
          <w:sz w:val="24"/>
          <w:szCs w:val="24"/>
          <w:lang w:val="en-US"/>
        </w:rPr>
        <w:t>Cardozo Arts &amp; Entertainment Law Journal,</w:t>
      </w:r>
      <w:r w:rsidRPr="00BC434D">
        <w:rPr>
          <w:rFonts w:asciiTheme="majorBidi" w:hAnsiTheme="majorBidi" w:cstheme="majorBidi"/>
          <w:sz w:val="24"/>
          <w:szCs w:val="24"/>
          <w:lang w:val="en-US"/>
        </w:rPr>
        <w:t xml:space="preserve"> vol. 32, 2013</w:t>
      </w:r>
      <w:r>
        <w:rPr>
          <w:rFonts w:asciiTheme="majorBidi" w:hAnsiTheme="majorBidi" w:cstheme="majorBidi"/>
          <w:sz w:val="24"/>
          <w:szCs w:val="24"/>
          <w:lang w:val="en-US"/>
        </w:rPr>
        <w:t xml:space="preserve">. </w:t>
      </w:r>
    </w:p>
    <w:p w14:paraId="15235698" w14:textId="77777777" w:rsidR="001B0A36" w:rsidRDefault="001B0A36" w:rsidP="00D848BE">
      <w:pPr>
        <w:pStyle w:val="FootnoteText"/>
        <w:numPr>
          <w:ilvl w:val="0"/>
          <w:numId w:val="19"/>
        </w:numPr>
        <w:spacing w:line="276" w:lineRule="auto"/>
        <w:rPr>
          <w:rFonts w:asciiTheme="majorBidi" w:hAnsiTheme="majorBidi" w:cstheme="majorBidi"/>
          <w:sz w:val="24"/>
          <w:szCs w:val="24"/>
          <w:lang w:val="en-US"/>
        </w:rPr>
      </w:pPr>
      <w:r w:rsidRPr="00BC434D">
        <w:rPr>
          <w:rFonts w:asciiTheme="majorBidi" w:hAnsiTheme="majorBidi" w:cstheme="majorBidi"/>
          <w:sz w:val="24"/>
          <w:szCs w:val="24"/>
          <w:lang w:val="en-US"/>
        </w:rPr>
        <w:t>European Commission on Human Rights, Application N° 8741/79, déc. 10.3.81, D.R. 24</w:t>
      </w:r>
      <w:r>
        <w:rPr>
          <w:rFonts w:asciiTheme="majorBidi" w:hAnsiTheme="majorBidi" w:cstheme="majorBidi"/>
          <w:sz w:val="24"/>
          <w:szCs w:val="24"/>
          <w:lang w:val="en-US"/>
        </w:rPr>
        <w:t>.</w:t>
      </w:r>
    </w:p>
    <w:p w14:paraId="07BDBD92" w14:textId="77777777" w:rsidR="001B0A36" w:rsidRDefault="001B0A36" w:rsidP="00D848BE">
      <w:pPr>
        <w:pStyle w:val="FootnoteText"/>
        <w:numPr>
          <w:ilvl w:val="0"/>
          <w:numId w:val="19"/>
        </w:numPr>
        <w:spacing w:line="276" w:lineRule="auto"/>
        <w:rPr>
          <w:rFonts w:asciiTheme="majorBidi" w:hAnsiTheme="majorBidi" w:cstheme="majorBidi"/>
          <w:sz w:val="24"/>
          <w:szCs w:val="24"/>
          <w:lang w:val="en-US"/>
        </w:rPr>
      </w:pPr>
      <w:commentRangeStart w:id="3"/>
      <w:r w:rsidRPr="00BC434D">
        <w:rPr>
          <w:rFonts w:asciiTheme="majorBidi" w:hAnsiTheme="majorBidi" w:cstheme="majorBidi"/>
          <w:sz w:val="24"/>
          <w:szCs w:val="24"/>
          <w:lang w:val="en-US"/>
        </w:rPr>
        <w:t>Fuchs, Angelika</w:t>
      </w:r>
      <w:r>
        <w:rPr>
          <w:rFonts w:asciiTheme="majorBidi" w:hAnsiTheme="majorBidi" w:cstheme="majorBidi"/>
          <w:sz w:val="24"/>
          <w:szCs w:val="24"/>
          <w:lang w:val="en-US"/>
        </w:rPr>
        <w:t>,</w:t>
      </w:r>
      <w:r w:rsidRPr="00BC434D">
        <w:rPr>
          <w:rFonts w:asciiTheme="majorBidi" w:hAnsiTheme="majorBidi" w:cstheme="majorBidi"/>
          <w:sz w:val="24"/>
          <w:szCs w:val="24"/>
          <w:lang w:val="en-US"/>
        </w:rPr>
        <w:t xml:space="preserve"> </w:t>
      </w:r>
      <w:commentRangeEnd w:id="3"/>
      <w:r>
        <w:rPr>
          <w:rStyle w:val="CommentReference"/>
        </w:rPr>
        <w:commentReference w:id="3"/>
      </w:r>
      <w:r w:rsidRPr="00BC434D">
        <w:rPr>
          <w:rFonts w:asciiTheme="majorBidi" w:hAnsiTheme="majorBidi" w:cstheme="majorBidi"/>
          <w:sz w:val="24"/>
          <w:szCs w:val="24"/>
          <w:lang w:val="en-US"/>
        </w:rPr>
        <w:t xml:space="preserve">‘What happens to your social media account when you die? The first German judgments on digital legacy” </w:t>
      </w:r>
      <w:r w:rsidRPr="00BC434D">
        <w:rPr>
          <w:rFonts w:asciiTheme="majorBidi" w:hAnsiTheme="majorBidi" w:cstheme="majorBidi"/>
          <w:i/>
          <w:iCs/>
          <w:sz w:val="24"/>
          <w:szCs w:val="24"/>
          <w:lang w:val="en-US"/>
        </w:rPr>
        <w:t>ERA Forum Springer Berlin Heidelberg</w:t>
      </w:r>
      <w:r w:rsidRPr="00BC434D">
        <w:rPr>
          <w:rFonts w:asciiTheme="majorBidi" w:hAnsiTheme="majorBidi" w:cstheme="majorBidi"/>
          <w:sz w:val="24"/>
          <w:szCs w:val="24"/>
          <w:lang w:val="en-US"/>
        </w:rPr>
        <w:t>, vol. 22 (1), 2021</w:t>
      </w:r>
      <w:r>
        <w:rPr>
          <w:rFonts w:asciiTheme="majorBidi" w:hAnsiTheme="majorBidi" w:cstheme="majorBidi"/>
          <w:sz w:val="24"/>
          <w:szCs w:val="24"/>
          <w:lang w:val="en-US"/>
        </w:rPr>
        <w:t>.</w:t>
      </w:r>
    </w:p>
    <w:p w14:paraId="151E2DEF" w14:textId="77777777" w:rsidR="001B0A36" w:rsidRDefault="001B0A36" w:rsidP="00D848BE">
      <w:pPr>
        <w:pStyle w:val="FootnoteText"/>
        <w:numPr>
          <w:ilvl w:val="0"/>
          <w:numId w:val="19"/>
        </w:numPr>
        <w:spacing w:line="276" w:lineRule="auto"/>
        <w:rPr>
          <w:rFonts w:asciiTheme="majorBidi" w:hAnsiTheme="majorBidi" w:cstheme="majorBidi"/>
          <w:sz w:val="24"/>
          <w:szCs w:val="24"/>
          <w:lang w:val="en-US"/>
        </w:rPr>
      </w:pPr>
      <w:r w:rsidRPr="00BC434D">
        <w:rPr>
          <w:rFonts w:asciiTheme="majorBidi" w:hAnsiTheme="majorBidi" w:cstheme="majorBidi"/>
          <w:sz w:val="24"/>
          <w:szCs w:val="24"/>
          <w:lang w:val="en-US"/>
        </w:rPr>
        <w:t>Grochowski, Michal</w:t>
      </w:r>
      <w:r>
        <w:rPr>
          <w:rFonts w:asciiTheme="majorBidi" w:hAnsiTheme="majorBidi" w:cstheme="majorBidi"/>
          <w:sz w:val="24"/>
          <w:szCs w:val="24"/>
          <w:lang w:val="en-US"/>
        </w:rPr>
        <w:t xml:space="preserve">, </w:t>
      </w:r>
      <w:r w:rsidRPr="00BC434D">
        <w:rPr>
          <w:rFonts w:asciiTheme="majorBidi" w:hAnsiTheme="majorBidi" w:cstheme="majorBidi"/>
          <w:sz w:val="24"/>
          <w:szCs w:val="24"/>
          <w:lang w:val="en-US"/>
        </w:rPr>
        <w:t xml:space="preserve">“Inheritance of the social media accounts in Poland” in </w:t>
      </w:r>
      <w:r w:rsidRPr="00BC434D">
        <w:rPr>
          <w:rFonts w:asciiTheme="majorBidi" w:hAnsiTheme="majorBidi" w:cstheme="majorBidi"/>
          <w:i/>
          <w:iCs/>
          <w:sz w:val="24"/>
          <w:szCs w:val="24"/>
          <w:lang w:val="en-US"/>
        </w:rPr>
        <w:t>European Review of Private Law,</w:t>
      </w:r>
      <w:r w:rsidRPr="00BC434D">
        <w:rPr>
          <w:rFonts w:asciiTheme="majorBidi" w:hAnsiTheme="majorBidi" w:cstheme="majorBidi"/>
          <w:sz w:val="24"/>
          <w:szCs w:val="24"/>
          <w:lang w:val="en-US"/>
        </w:rPr>
        <w:t xml:space="preserve"> 27(5), 2019</w:t>
      </w:r>
      <w:r>
        <w:rPr>
          <w:rFonts w:asciiTheme="majorBidi" w:hAnsiTheme="majorBidi" w:cstheme="majorBidi"/>
          <w:sz w:val="24"/>
          <w:szCs w:val="24"/>
          <w:lang w:val="en-US"/>
        </w:rPr>
        <w:t>.</w:t>
      </w:r>
    </w:p>
    <w:p w14:paraId="68608F14" w14:textId="53E10E08" w:rsidR="00723D32" w:rsidRPr="00723D32" w:rsidRDefault="00723D32" w:rsidP="00723D32">
      <w:pPr>
        <w:pStyle w:val="ListParagraph"/>
        <w:numPr>
          <w:ilvl w:val="0"/>
          <w:numId w:val="19"/>
        </w:numPr>
        <w:rPr>
          <w:rFonts w:asciiTheme="majorBidi" w:eastAsiaTheme="minorHAnsi" w:hAnsiTheme="majorBidi" w:cstheme="majorBidi"/>
          <w:sz w:val="24"/>
          <w:szCs w:val="24"/>
          <w:lang w:val="de-DE"/>
        </w:rPr>
      </w:pPr>
      <w:r w:rsidRPr="00723D32">
        <w:rPr>
          <w:rFonts w:asciiTheme="majorBidi" w:eastAsiaTheme="minorHAnsi" w:hAnsiTheme="majorBidi" w:cstheme="majorBidi"/>
          <w:sz w:val="24"/>
          <w:szCs w:val="24"/>
          <w:lang w:val="de-DE"/>
        </w:rPr>
        <w:t xml:space="preserve">Grundsatz, Leipold, “Münchener Kommentar zum Bürgerlichen Gesetzbuch” (Note 13), §1922 Gesamtrechtsnachfolge, rn. 28, 2017. </w:t>
      </w:r>
    </w:p>
    <w:p w14:paraId="1E434442" w14:textId="0347BDA6" w:rsidR="001B0A36" w:rsidRDefault="001B0A36" w:rsidP="00D848BE">
      <w:pPr>
        <w:pStyle w:val="FootnoteText"/>
        <w:numPr>
          <w:ilvl w:val="0"/>
          <w:numId w:val="19"/>
        </w:numPr>
        <w:spacing w:line="276" w:lineRule="auto"/>
        <w:rPr>
          <w:rFonts w:asciiTheme="majorBidi" w:hAnsiTheme="majorBidi" w:cstheme="majorBidi"/>
          <w:sz w:val="24"/>
          <w:szCs w:val="24"/>
          <w:lang w:val="en-US"/>
        </w:rPr>
      </w:pPr>
      <w:r w:rsidRPr="00BC434D">
        <w:rPr>
          <w:rFonts w:asciiTheme="majorBidi" w:hAnsiTheme="majorBidi" w:cstheme="majorBidi"/>
          <w:sz w:val="24"/>
          <w:szCs w:val="24"/>
          <w:lang w:val="en-US"/>
        </w:rPr>
        <w:t>Hamuľák,</w:t>
      </w:r>
      <w:r w:rsidRPr="00810E36">
        <w:rPr>
          <w:rFonts w:asciiTheme="majorBidi" w:hAnsiTheme="majorBidi" w:cstheme="majorBidi"/>
          <w:sz w:val="24"/>
          <w:szCs w:val="24"/>
          <w:lang w:val="en-US"/>
        </w:rPr>
        <w:t xml:space="preserve"> </w:t>
      </w:r>
      <w:r w:rsidRPr="00BC434D">
        <w:rPr>
          <w:rFonts w:asciiTheme="majorBidi" w:hAnsiTheme="majorBidi" w:cstheme="majorBidi"/>
          <w:sz w:val="24"/>
          <w:szCs w:val="24"/>
          <w:lang w:val="en-US"/>
        </w:rPr>
        <w:t>Ondre</w:t>
      </w:r>
      <w:r w:rsidR="00723D32" w:rsidRPr="00723D32">
        <w:rPr>
          <w:rFonts w:asciiTheme="majorBidi" w:hAnsiTheme="majorBidi" w:cstheme="majorBidi"/>
          <w:sz w:val="24"/>
          <w:szCs w:val="24"/>
          <w:lang w:val="en-US"/>
        </w:rPr>
        <w:t xml:space="preserve">; Kocharyan, </w:t>
      </w:r>
      <w:r w:rsidRPr="00BC434D">
        <w:rPr>
          <w:rFonts w:asciiTheme="majorBidi" w:hAnsiTheme="majorBidi" w:cstheme="majorBidi"/>
          <w:sz w:val="24"/>
          <w:szCs w:val="24"/>
          <w:lang w:val="en-US"/>
        </w:rPr>
        <w:t>Hovsep</w:t>
      </w:r>
      <w:r w:rsidR="00723D32" w:rsidRPr="00723D32">
        <w:rPr>
          <w:rFonts w:asciiTheme="majorBidi" w:hAnsiTheme="majorBidi" w:cstheme="majorBidi"/>
          <w:sz w:val="24"/>
          <w:szCs w:val="24"/>
          <w:lang w:val="en-US"/>
        </w:rPr>
        <w:t xml:space="preserve">; Kerikmäe, </w:t>
      </w:r>
      <w:r w:rsidRPr="00BC434D">
        <w:rPr>
          <w:rFonts w:asciiTheme="majorBidi" w:hAnsiTheme="majorBidi" w:cstheme="majorBidi"/>
          <w:sz w:val="24"/>
          <w:szCs w:val="24"/>
          <w:lang w:val="en-US"/>
        </w:rPr>
        <w:t xml:space="preserve">Tanel, “The Contemporary Issues of Post-Mortem Personal Data Protection in the EU after GDPR Entering into Force” in </w:t>
      </w:r>
      <w:r w:rsidRPr="00BC434D">
        <w:rPr>
          <w:rFonts w:asciiTheme="majorBidi" w:hAnsiTheme="majorBidi" w:cstheme="majorBidi"/>
          <w:i/>
          <w:iCs/>
          <w:sz w:val="24"/>
          <w:szCs w:val="24"/>
          <w:lang w:val="en-US"/>
        </w:rPr>
        <w:t>Czech Yearbook of Public &amp; Private International Law, vol. 11</w:t>
      </w:r>
      <w:r w:rsidRPr="00BC434D">
        <w:rPr>
          <w:rFonts w:asciiTheme="majorBidi" w:hAnsiTheme="majorBidi" w:cstheme="majorBidi"/>
          <w:sz w:val="24"/>
          <w:szCs w:val="24"/>
          <w:lang w:val="en-US"/>
        </w:rPr>
        <w:t>, 2020</w:t>
      </w:r>
      <w:r>
        <w:rPr>
          <w:rFonts w:asciiTheme="majorBidi" w:hAnsiTheme="majorBidi" w:cstheme="majorBidi"/>
          <w:sz w:val="24"/>
          <w:szCs w:val="24"/>
          <w:lang w:val="en-US"/>
        </w:rPr>
        <w:t>.</w:t>
      </w:r>
    </w:p>
    <w:p w14:paraId="159E6501" w14:textId="77777777" w:rsidR="001B0A36" w:rsidRDefault="001B0A36" w:rsidP="00D848BE">
      <w:pPr>
        <w:pStyle w:val="FootnoteText"/>
        <w:numPr>
          <w:ilvl w:val="0"/>
          <w:numId w:val="19"/>
        </w:numPr>
        <w:spacing w:line="276" w:lineRule="auto"/>
        <w:rPr>
          <w:rFonts w:asciiTheme="majorBidi" w:hAnsiTheme="majorBidi" w:cstheme="majorBidi"/>
          <w:sz w:val="24"/>
          <w:szCs w:val="24"/>
          <w:lang w:val="en-US"/>
        </w:rPr>
      </w:pPr>
      <w:r w:rsidRPr="00BC434D">
        <w:rPr>
          <w:rFonts w:asciiTheme="majorBidi" w:hAnsiTheme="majorBidi" w:cstheme="majorBidi"/>
          <w:sz w:val="24"/>
          <w:szCs w:val="24"/>
          <w:lang w:val="en-US"/>
        </w:rPr>
        <w:t>Harbinja, Edina</w:t>
      </w:r>
      <w:r>
        <w:rPr>
          <w:rFonts w:asciiTheme="majorBidi" w:hAnsiTheme="majorBidi" w:cstheme="majorBidi"/>
          <w:sz w:val="24"/>
          <w:szCs w:val="24"/>
          <w:lang w:val="en-US"/>
        </w:rPr>
        <w:t>,</w:t>
      </w:r>
      <w:r w:rsidRPr="00BC434D" w:rsidDel="00810E36">
        <w:rPr>
          <w:rFonts w:asciiTheme="majorBidi" w:hAnsiTheme="majorBidi" w:cstheme="majorBidi"/>
          <w:sz w:val="24"/>
          <w:szCs w:val="24"/>
          <w:lang w:val="en-US"/>
        </w:rPr>
        <w:t xml:space="preserve"> </w:t>
      </w:r>
      <w:r w:rsidRPr="00BC434D">
        <w:rPr>
          <w:rFonts w:asciiTheme="majorBidi" w:hAnsiTheme="majorBidi" w:cstheme="majorBidi"/>
          <w:sz w:val="24"/>
          <w:szCs w:val="24"/>
          <w:lang w:val="en-US"/>
        </w:rPr>
        <w:t xml:space="preserve">"Does the EU data protection regime protect post-mortem privacy and what could be the potential alternatives" in </w:t>
      </w:r>
      <w:r w:rsidRPr="00BC434D">
        <w:rPr>
          <w:rFonts w:asciiTheme="majorBidi" w:hAnsiTheme="majorBidi" w:cstheme="majorBidi"/>
          <w:i/>
          <w:iCs/>
          <w:sz w:val="24"/>
          <w:szCs w:val="24"/>
          <w:lang w:val="en-US"/>
        </w:rPr>
        <w:t>Scripted</w:t>
      </w:r>
      <w:r w:rsidRPr="00BC434D">
        <w:rPr>
          <w:rFonts w:asciiTheme="majorBidi" w:hAnsiTheme="majorBidi" w:cstheme="majorBidi"/>
          <w:sz w:val="24"/>
          <w:szCs w:val="24"/>
          <w:lang w:val="en-US"/>
        </w:rPr>
        <w:t>. Vol. 10, 2013</w:t>
      </w:r>
      <w:r>
        <w:rPr>
          <w:rFonts w:asciiTheme="majorBidi" w:hAnsiTheme="majorBidi" w:cstheme="majorBidi"/>
          <w:sz w:val="24"/>
          <w:szCs w:val="24"/>
          <w:lang w:val="en-US"/>
        </w:rPr>
        <w:t>.</w:t>
      </w:r>
    </w:p>
    <w:p w14:paraId="7895A6B6" w14:textId="77777777" w:rsidR="001B0A36" w:rsidRDefault="001B0A36" w:rsidP="00D848BE">
      <w:pPr>
        <w:pStyle w:val="FootnoteText"/>
        <w:numPr>
          <w:ilvl w:val="0"/>
          <w:numId w:val="19"/>
        </w:numPr>
        <w:spacing w:line="276" w:lineRule="auto"/>
        <w:rPr>
          <w:rFonts w:asciiTheme="majorBidi" w:hAnsiTheme="majorBidi" w:cstheme="majorBidi"/>
          <w:sz w:val="24"/>
          <w:szCs w:val="24"/>
          <w:lang w:val="en-US"/>
        </w:rPr>
      </w:pPr>
      <w:r w:rsidRPr="00BC434D">
        <w:rPr>
          <w:rFonts w:asciiTheme="majorBidi" w:hAnsiTheme="majorBidi" w:cstheme="majorBidi"/>
          <w:sz w:val="24"/>
          <w:szCs w:val="24"/>
          <w:lang w:val="en-US"/>
        </w:rPr>
        <w:t>Harbinja,</w:t>
      </w:r>
      <w:r w:rsidRPr="001F79B6">
        <w:rPr>
          <w:rFonts w:asciiTheme="majorBidi" w:hAnsiTheme="majorBidi" w:cstheme="majorBidi"/>
          <w:sz w:val="24"/>
          <w:szCs w:val="24"/>
          <w:lang w:val="en-US"/>
        </w:rPr>
        <w:t xml:space="preserve"> </w:t>
      </w:r>
      <w:r w:rsidRPr="00BC434D">
        <w:rPr>
          <w:rFonts w:asciiTheme="majorBidi" w:hAnsiTheme="majorBidi" w:cstheme="majorBidi"/>
          <w:sz w:val="24"/>
          <w:szCs w:val="24"/>
          <w:lang w:val="en-US"/>
        </w:rPr>
        <w:t>Edina</w:t>
      </w:r>
      <w:r>
        <w:rPr>
          <w:rFonts w:asciiTheme="majorBidi" w:hAnsiTheme="majorBidi" w:cstheme="majorBidi"/>
          <w:sz w:val="24"/>
          <w:szCs w:val="24"/>
          <w:lang w:val="en-US"/>
        </w:rPr>
        <w:t>,</w:t>
      </w:r>
      <w:r w:rsidRPr="00BC434D">
        <w:rPr>
          <w:rFonts w:asciiTheme="majorBidi" w:hAnsiTheme="majorBidi" w:cstheme="majorBidi"/>
          <w:sz w:val="24"/>
          <w:szCs w:val="24"/>
          <w:lang w:val="en-US"/>
        </w:rPr>
        <w:t xml:space="preserve"> “Post-mortem privacy 2.0: theory, law, and technology” in </w:t>
      </w:r>
      <w:r w:rsidRPr="00BC434D">
        <w:rPr>
          <w:rFonts w:asciiTheme="majorBidi" w:hAnsiTheme="majorBidi" w:cstheme="majorBidi"/>
          <w:i/>
          <w:iCs/>
          <w:sz w:val="24"/>
          <w:szCs w:val="24"/>
          <w:lang w:val="en-US"/>
        </w:rPr>
        <w:t>International Review of Law, Computers &amp; Technology</w:t>
      </w:r>
      <w:r w:rsidRPr="00BC434D">
        <w:rPr>
          <w:rFonts w:asciiTheme="majorBidi" w:hAnsiTheme="majorBidi" w:cstheme="majorBidi"/>
          <w:sz w:val="24"/>
          <w:szCs w:val="24"/>
          <w:lang w:val="en-US"/>
        </w:rPr>
        <w:t>, vol. 31(1), 2017</w:t>
      </w:r>
      <w:r>
        <w:rPr>
          <w:rFonts w:asciiTheme="majorBidi" w:hAnsiTheme="majorBidi" w:cstheme="majorBidi"/>
          <w:sz w:val="24"/>
          <w:szCs w:val="24"/>
          <w:lang w:val="en-US"/>
        </w:rPr>
        <w:t>.</w:t>
      </w:r>
    </w:p>
    <w:p w14:paraId="20297BAC" w14:textId="269F1C79" w:rsidR="001B0A36" w:rsidRPr="00036941" w:rsidRDefault="001B0A36" w:rsidP="00036941">
      <w:pPr>
        <w:pStyle w:val="ListParagraph"/>
        <w:numPr>
          <w:ilvl w:val="0"/>
          <w:numId w:val="19"/>
        </w:numPr>
        <w:rPr>
          <w:rFonts w:asciiTheme="majorBidi" w:eastAsiaTheme="minorHAnsi" w:hAnsiTheme="majorBidi" w:cstheme="majorBidi"/>
          <w:sz w:val="24"/>
          <w:szCs w:val="24"/>
          <w:lang w:val="fr-BE"/>
        </w:rPr>
      </w:pPr>
      <w:commentRangeStart w:id="4"/>
      <w:commentRangeEnd w:id="4"/>
      <w:r>
        <w:rPr>
          <w:rStyle w:val="CommentReference"/>
        </w:rPr>
        <w:lastRenderedPageBreak/>
        <w:commentReference w:id="4"/>
      </w:r>
      <w:r w:rsidR="00036941" w:rsidRPr="009C41FE">
        <w:rPr>
          <w:lang w:val="en-US"/>
        </w:rPr>
        <w:t xml:space="preserve"> </w:t>
      </w:r>
      <w:r w:rsidR="00036941" w:rsidRPr="00036941">
        <w:rPr>
          <w:rFonts w:asciiTheme="majorBidi" w:hAnsiTheme="majorBidi" w:cstheme="majorBidi"/>
          <w:sz w:val="24"/>
          <w:szCs w:val="24"/>
          <w:lang w:val="fr-BE"/>
        </w:rPr>
        <w:t>Journal Officiel de la République Française, L</w:t>
      </w:r>
      <w:r w:rsidRPr="00036941">
        <w:rPr>
          <w:rFonts w:asciiTheme="majorBidi" w:hAnsiTheme="majorBidi" w:cstheme="majorBidi"/>
          <w:sz w:val="24"/>
          <w:szCs w:val="24"/>
          <w:lang w:val="fr-BE"/>
        </w:rPr>
        <w:t xml:space="preserve">OI n° 2016-1321 du 7 octobre 2016 pour une République numérique, </w:t>
      </w:r>
      <w:r w:rsidR="00036941" w:rsidRPr="00036941">
        <w:rPr>
          <w:rFonts w:asciiTheme="majorBidi" w:hAnsiTheme="majorBidi" w:cstheme="majorBidi"/>
          <w:sz w:val="24"/>
          <w:szCs w:val="24"/>
          <w:lang w:val="fr-BE"/>
        </w:rPr>
        <w:t xml:space="preserve">Article </w:t>
      </w:r>
      <w:r w:rsidRPr="00036941">
        <w:rPr>
          <w:rFonts w:asciiTheme="majorBidi" w:hAnsiTheme="majorBidi" w:cstheme="majorBidi"/>
          <w:sz w:val="24"/>
          <w:szCs w:val="24"/>
          <w:lang w:val="fr-BE"/>
        </w:rPr>
        <w:t>40.</w:t>
      </w:r>
      <w:r w:rsidR="00F31986">
        <w:rPr>
          <w:rFonts w:asciiTheme="majorBidi" w:hAnsiTheme="majorBidi" w:cstheme="majorBidi"/>
          <w:sz w:val="24"/>
          <w:szCs w:val="24"/>
          <w:lang w:val="fr-BE"/>
        </w:rPr>
        <w:t xml:space="preserve"> </w:t>
      </w:r>
      <w:r w:rsidR="00036941" w:rsidRPr="00036941">
        <w:rPr>
          <w:rFonts w:asciiTheme="majorBidi" w:eastAsiaTheme="minorHAnsi" w:hAnsiTheme="majorBidi" w:cstheme="majorBidi"/>
          <w:sz w:val="24"/>
          <w:szCs w:val="24"/>
          <w:lang w:val="fr-BE"/>
        </w:rPr>
        <w:t>(Law number 2016-1321 of October 7, 2016, for a Digital Republic, Article 40)</w:t>
      </w:r>
    </w:p>
    <w:p w14:paraId="727A2A28" w14:textId="09DD6E2F" w:rsidR="001B0A36" w:rsidRPr="00FF31C8" w:rsidRDefault="0012282F" w:rsidP="00D848BE">
      <w:pPr>
        <w:pStyle w:val="FootnoteText"/>
        <w:numPr>
          <w:ilvl w:val="0"/>
          <w:numId w:val="19"/>
        </w:numPr>
        <w:spacing w:line="276" w:lineRule="auto"/>
        <w:rPr>
          <w:rFonts w:asciiTheme="majorBidi" w:hAnsiTheme="majorBidi" w:cstheme="majorBidi"/>
          <w:sz w:val="24"/>
          <w:szCs w:val="24"/>
          <w:lang w:val="fr-BE"/>
        </w:rPr>
      </w:pPr>
      <w:r w:rsidRPr="0012282F">
        <w:rPr>
          <w:rFonts w:asciiTheme="majorBidi" w:hAnsiTheme="majorBidi" w:cstheme="majorBidi"/>
          <w:sz w:val="24"/>
          <w:szCs w:val="24"/>
          <w:lang w:val="fr-BE"/>
        </w:rPr>
        <w:t>Landgericht Berlin</w:t>
      </w:r>
      <w:r w:rsidR="001B0A36" w:rsidRPr="00FF31C8">
        <w:rPr>
          <w:rFonts w:asciiTheme="majorBidi" w:hAnsiTheme="majorBidi" w:cstheme="majorBidi"/>
          <w:sz w:val="24"/>
          <w:szCs w:val="24"/>
          <w:lang w:val="fr-BE"/>
        </w:rPr>
        <w:t>, 20 O 172/15, ECLI:</w:t>
      </w:r>
      <w:r>
        <w:rPr>
          <w:rFonts w:asciiTheme="majorBidi" w:hAnsiTheme="majorBidi" w:cstheme="majorBidi"/>
          <w:sz w:val="24"/>
          <w:szCs w:val="24"/>
          <w:lang w:val="fr-BE"/>
        </w:rPr>
        <w:t xml:space="preserve"> </w:t>
      </w:r>
      <w:r w:rsidR="001B0A36" w:rsidRPr="00FF31C8">
        <w:rPr>
          <w:rFonts w:asciiTheme="majorBidi" w:hAnsiTheme="majorBidi" w:cstheme="majorBidi"/>
          <w:sz w:val="24"/>
          <w:szCs w:val="24"/>
          <w:lang w:val="fr-BE"/>
        </w:rPr>
        <w:t>DE:</w:t>
      </w:r>
      <w:r>
        <w:rPr>
          <w:rFonts w:asciiTheme="majorBidi" w:hAnsiTheme="majorBidi" w:cstheme="majorBidi"/>
          <w:sz w:val="24"/>
          <w:szCs w:val="24"/>
          <w:lang w:val="fr-BE"/>
        </w:rPr>
        <w:t xml:space="preserve"> </w:t>
      </w:r>
      <w:r w:rsidR="001B0A36" w:rsidRPr="00FF31C8">
        <w:rPr>
          <w:rFonts w:asciiTheme="majorBidi" w:hAnsiTheme="majorBidi" w:cstheme="majorBidi"/>
          <w:sz w:val="24"/>
          <w:szCs w:val="24"/>
          <w:lang w:val="fr-BE"/>
        </w:rPr>
        <w:t>LGBE:</w:t>
      </w:r>
      <w:r>
        <w:rPr>
          <w:rFonts w:asciiTheme="majorBidi" w:hAnsiTheme="majorBidi" w:cstheme="majorBidi"/>
          <w:sz w:val="24"/>
          <w:szCs w:val="24"/>
          <w:lang w:val="fr-BE"/>
        </w:rPr>
        <w:t xml:space="preserve"> </w:t>
      </w:r>
      <w:r w:rsidR="001B0A36" w:rsidRPr="00FF31C8">
        <w:rPr>
          <w:rFonts w:asciiTheme="majorBidi" w:hAnsiTheme="majorBidi" w:cstheme="majorBidi"/>
          <w:sz w:val="24"/>
          <w:szCs w:val="24"/>
          <w:lang w:val="fr-BE"/>
        </w:rPr>
        <w:t>2015:</w:t>
      </w:r>
      <w:r>
        <w:rPr>
          <w:rFonts w:asciiTheme="majorBidi" w:hAnsiTheme="majorBidi" w:cstheme="majorBidi"/>
          <w:sz w:val="24"/>
          <w:szCs w:val="24"/>
          <w:lang w:val="fr-BE"/>
        </w:rPr>
        <w:t xml:space="preserve"> </w:t>
      </w:r>
      <w:r w:rsidR="001B0A36" w:rsidRPr="00FF31C8">
        <w:rPr>
          <w:rFonts w:asciiTheme="majorBidi" w:hAnsiTheme="majorBidi" w:cstheme="majorBidi"/>
          <w:sz w:val="24"/>
          <w:szCs w:val="24"/>
          <w:lang w:val="fr-BE"/>
        </w:rPr>
        <w:t>1217.20O172.15.0A</w:t>
      </w:r>
    </w:p>
    <w:p w14:paraId="53B034F8" w14:textId="77777777" w:rsidR="001B0A36" w:rsidRDefault="001B0A36" w:rsidP="00D848BE">
      <w:pPr>
        <w:pStyle w:val="FootnoteText"/>
        <w:numPr>
          <w:ilvl w:val="0"/>
          <w:numId w:val="19"/>
        </w:numPr>
        <w:spacing w:line="276" w:lineRule="auto"/>
        <w:rPr>
          <w:rFonts w:asciiTheme="majorBidi" w:hAnsiTheme="majorBidi" w:cstheme="majorBidi"/>
          <w:sz w:val="24"/>
          <w:szCs w:val="24"/>
          <w:lang w:val="en-US"/>
        </w:rPr>
      </w:pPr>
      <w:r w:rsidRPr="00BC434D">
        <w:rPr>
          <w:rFonts w:asciiTheme="majorBidi" w:hAnsiTheme="majorBidi" w:cstheme="majorBidi"/>
          <w:sz w:val="24"/>
          <w:szCs w:val="24"/>
          <w:lang w:val="en-US"/>
        </w:rPr>
        <w:t xml:space="preserve">Malgieri, </w:t>
      </w:r>
      <w:r w:rsidRPr="00810E36">
        <w:rPr>
          <w:rFonts w:asciiTheme="majorBidi" w:hAnsiTheme="majorBidi" w:cstheme="majorBidi"/>
          <w:sz w:val="24"/>
          <w:szCs w:val="24"/>
          <w:lang w:val="en-US"/>
        </w:rPr>
        <w:t>Gianclaudio</w:t>
      </w:r>
      <w:r>
        <w:rPr>
          <w:rFonts w:asciiTheme="majorBidi" w:hAnsiTheme="majorBidi" w:cstheme="majorBidi"/>
          <w:sz w:val="24"/>
          <w:szCs w:val="24"/>
          <w:lang w:val="en-US"/>
        </w:rPr>
        <w:t>,</w:t>
      </w:r>
      <w:r w:rsidRPr="00810E36">
        <w:rPr>
          <w:rFonts w:asciiTheme="majorBidi" w:hAnsiTheme="majorBidi" w:cstheme="majorBidi"/>
          <w:sz w:val="24"/>
          <w:szCs w:val="24"/>
          <w:lang w:val="en-US"/>
        </w:rPr>
        <w:t xml:space="preserve"> </w:t>
      </w:r>
      <w:r w:rsidRPr="00BC434D">
        <w:rPr>
          <w:rFonts w:asciiTheme="majorBidi" w:hAnsiTheme="majorBidi" w:cstheme="majorBidi"/>
          <w:sz w:val="24"/>
          <w:szCs w:val="24"/>
          <w:lang w:val="en-US"/>
        </w:rPr>
        <w:t xml:space="preserve">“RIP: Rest in privacy or rest in (quasi-) property? Personal data protection of deceased data subjects between theoretical scenarios and national solutions. Personal Data Protection of Deceased Data Subjects between Theoretical Scenarios and National Solutions.’ In </w:t>
      </w:r>
      <w:r w:rsidRPr="00BC434D">
        <w:rPr>
          <w:rFonts w:asciiTheme="majorBidi" w:hAnsiTheme="majorBidi" w:cstheme="majorBidi"/>
          <w:i/>
          <w:iCs/>
          <w:sz w:val="24"/>
          <w:szCs w:val="24"/>
          <w:lang w:val="en-US"/>
        </w:rPr>
        <w:t>Data Protection and Privacy: The Internet of Bodies</w:t>
      </w:r>
      <w:r w:rsidRPr="00BC434D">
        <w:rPr>
          <w:rFonts w:asciiTheme="majorBidi" w:hAnsiTheme="majorBidi" w:cstheme="majorBidi"/>
          <w:sz w:val="24"/>
          <w:szCs w:val="24"/>
          <w:lang w:val="en-US"/>
        </w:rPr>
        <w:t>, 2018</w:t>
      </w:r>
      <w:r>
        <w:rPr>
          <w:rFonts w:asciiTheme="majorBidi" w:hAnsiTheme="majorBidi" w:cstheme="majorBidi"/>
          <w:sz w:val="24"/>
          <w:szCs w:val="24"/>
          <w:lang w:val="en-US"/>
        </w:rPr>
        <w:t>.</w:t>
      </w:r>
    </w:p>
    <w:p w14:paraId="29ECF26D" w14:textId="4876BA6C" w:rsidR="001B0A36" w:rsidRDefault="001B0A36" w:rsidP="00D848BE">
      <w:pPr>
        <w:pStyle w:val="FootnoteText"/>
        <w:numPr>
          <w:ilvl w:val="0"/>
          <w:numId w:val="19"/>
        </w:numPr>
        <w:spacing w:line="276" w:lineRule="auto"/>
        <w:rPr>
          <w:rFonts w:asciiTheme="majorBidi" w:hAnsiTheme="majorBidi" w:cstheme="majorBidi"/>
          <w:sz w:val="24"/>
          <w:szCs w:val="24"/>
          <w:lang w:val="en-US"/>
        </w:rPr>
      </w:pPr>
      <w:r w:rsidRPr="00BC434D">
        <w:rPr>
          <w:rFonts w:asciiTheme="majorBidi" w:hAnsiTheme="majorBidi" w:cstheme="majorBidi"/>
          <w:sz w:val="24"/>
          <w:szCs w:val="24"/>
          <w:lang w:val="en-US"/>
        </w:rPr>
        <w:t>Mikk, Tiina</w:t>
      </w:r>
      <w:r>
        <w:rPr>
          <w:rFonts w:asciiTheme="majorBidi" w:hAnsiTheme="majorBidi" w:cstheme="majorBidi"/>
          <w:sz w:val="24"/>
          <w:szCs w:val="24"/>
          <w:lang w:val="en-US"/>
        </w:rPr>
        <w:t>;</w:t>
      </w:r>
      <w:r w:rsidRPr="00BC434D">
        <w:rPr>
          <w:rFonts w:asciiTheme="majorBidi" w:hAnsiTheme="majorBidi" w:cstheme="majorBidi"/>
          <w:sz w:val="24"/>
          <w:szCs w:val="24"/>
          <w:lang w:val="en-US"/>
        </w:rPr>
        <w:t xml:space="preserve"> </w:t>
      </w:r>
      <w:r w:rsidR="00F31986" w:rsidRPr="00F31986">
        <w:rPr>
          <w:rFonts w:asciiTheme="majorBidi" w:hAnsiTheme="majorBidi" w:cstheme="majorBidi"/>
          <w:sz w:val="24"/>
          <w:szCs w:val="24"/>
          <w:lang w:val="en-US"/>
        </w:rPr>
        <w:t>Sein,</w:t>
      </w:r>
      <w:r w:rsidR="00F31986">
        <w:rPr>
          <w:rFonts w:asciiTheme="majorBidi" w:hAnsiTheme="majorBidi" w:cstheme="majorBidi"/>
          <w:sz w:val="24"/>
          <w:szCs w:val="24"/>
          <w:lang w:val="en-US"/>
        </w:rPr>
        <w:t xml:space="preserve"> </w:t>
      </w:r>
      <w:r w:rsidRPr="00BC434D">
        <w:rPr>
          <w:rFonts w:asciiTheme="majorBidi" w:hAnsiTheme="majorBidi" w:cstheme="majorBidi"/>
          <w:sz w:val="24"/>
          <w:szCs w:val="24"/>
          <w:lang w:val="en-US"/>
        </w:rPr>
        <w:t xml:space="preserve">Karin, “Digital Inheritance: Heirs' Right to Claim Access to Online Accounts under Estonian Law” in </w:t>
      </w:r>
      <w:r w:rsidRPr="00BC434D">
        <w:rPr>
          <w:rFonts w:asciiTheme="majorBidi" w:hAnsiTheme="majorBidi" w:cstheme="majorBidi"/>
          <w:i/>
          <w:iCs/>
          <w:sz w:val="24"/>
          <w:szCs w:val="24"/>
          <w:lang w:val="en-US"/>
        </w:rPr>
        <w:t>Juridica International</w:t>
      </w:r>
      <w:r w:rsidRPr="00BC434D">
        <w:rPr>
          <w:rFonts w:asciiTheme="majorBidi" w:hAnsiTheme="majorBidi" w:cstheme="majorBidi"/>
          <w:sz w:val="24"/>
          <w:szCs w:val="24"/>
          <w:lang w:val="en-US"/>
        </w:rPr>
        <w:t>, vol. 27, 2018</w:t>
      </w:r>
      <w:r>
        <w:rPr>
          <w:rFonts w:asciiTheme="majorBidi" w:hAnsiTheme="majorBidi" w:cstheme="majorBidi"/>
          <w:sz w:val="24"/>
          <w:szCs w:val="24"/>
          <w:lang w:val="en-US"/>
        </w:rPr>
        <w:t>.</w:t>
      </w:r>
    </w:p>
    <w:p w14:paraId="021CFB65" w14:textId="77777777" w:rsidR="001B0A36" w:rsidRDefault="001B0A36" w:rsidP="00D848BE">
      <w:pPr>
        <w:pStyle w:val="FootnoteText"/>
        <w:numPr>
          <w:ilvl w:val="0"/>
          <w:numId w:val="19"/>
        </w:numPr>
        <w:spacing w:line="276" w:lineRule="auto"/>
        <w:rPr>
          <w:rFonts w:asciiTheme="majorBidi" w:hAnsiTheme="majorBidi" w:cstheme="majorBidi"/>
          <w:sz w:val="24"/>
          <w:szCs w:val="24"/>
          <w:lang w:val="en-US"/>
        </w:rPr>
      </w:pPr>
      <w:r w:rsidRPr="00BC434D">
        <w:rPr>
          <w:rFonts w:asciiTheme="majorBidi" w:hAnsiTheme="majorBidi" w:cstheme="majorBidi"/>
          <w:sz w:val="24"/>
          <w:szCs w:val="24"/>
          <w:lang w:val="en-US"/>
        </w:rPr>
        <w:t>Okoro, Egoyibo Lorrita</w:t>
      </w:r>
      <w:r>
        <w:rPr>
          <w:rFonts w:asciiTheme="majorBidi" w:hAnsiTheme="majorBidi" w:cstheme="majorBidi"/>
          <w:sz w:val="24"/>
          <w:szCs w:val="24"/>
          <w:lang w:val="en-US"/>
        </w:rPr>
        <w:t>,</w:t>
      </w:r>
      <w:r w:rsidRPr="00BC434D">
        <w:rPr>
          <w:rFonts w:asciiTheme="majorBidi" w:hAnsiTheme="majorBidi" w:cstheme="majorBidi"/>
          <w:sz w:val="24"/>
          <w:szCs w:val="24"/>
          <w:lang w:val="en-US"/>
        </w:rPr>
        <w:t xml:space="preserve"> “Death and Personal Data in the Age of Social Media” in </w:t>
      </w:r>
      <w:r w:rsidRPr="00BC434D">
        <w:rPr>
          <w:rFonts w:asciiTheme="majorBidi" w:hAnsiTheme="majorBidi" w:cstheme="majorBidi"/>
          <w:i/>
          <w:iCs/>
          <w:sz w:val="24"/>
          <w:szCs w:val="24"/>
          <w:lang w:val="en-US"/>
        </w:rPr>
        <w:t>Tilburg University</w:t>
      </w:r>
      <w:r w:rsidRPr="00BC434D">
        <w:rPr>
          <w:rFonts w:asciiTheme="majorBidi" w:hAnsiTheme="majorBidi" w:cstheme="majorBidi"/>
          <w:sz w:val="24"/>
          <w:szCs w:val="24"/>
          <w:lang w:val="en-US"/>
        </w:rPr>
        <w:t>, 2019, p. 25.</w:t>
      </w:r>
    </w:p>
    <w:p w14:paraId="2CE50338" w14:textId="299C5C26" w:rsidR="001B0A36" w:rsidRDefault="001B0A36" w:rsidP="00D848BE">
      <w:pPr>
        <w:pStyle w:val="FootnoteText"/>
        <w:numPr>
          <w:ilvl w:val="0"/>
          <w:numId w:val="19"/>
        </w:numPr>
        <w:spacing w:line="276" w:lineRule="auto"/>
        <w:rPr>
          <w:rFonts w:asciiTheme="majorBidi" w:hAnsiTheme="majorBidi" w:cstheme="majorBidi"/>
          <w:sz w:val="24"/>
          <w:szCs w:val="24"/>
          <w:lang w:val="en-US"/>
        </w:rPr>
      </w:pPr>
      <w:r w:rsidRPr="00BC434D">
        <w:rPr>
          <w:rFonts w:asciiTheme="majorBidi" w:hAnsiTheme="majorBidi" w:cstheme="majorBidi"/>
          <w:sz w:val="24"/>
          <w:szCs w:val="24"/>
          <w:lang w:val="en-US"/>
        </w:rPr>
        <w:t xml:space="preserve">Patti, </w:t>
      </w:r>
      <w:r w:rsidRPr="00810E36">
        <w:rPr>
          <w:rFonts w:asciiTheme="majorBidi" w:hAnsiTheme="majorBidi" w:cstheme="majorBidi"/>
          <w:sz w:val="24"/>
          <w:szCs w:val="24"/>
          <w:lang w:val="en-US"/>
        </w:rPr>
        <w:t>Paolo Francesco</w:t>
      </w:r>
      <w:r>
        <w:rPr>
          <w:rFonts w:asciiTheme="majorBidi" w:hAnsiTheme="majorBidi" w:cstheme="majorBidi"/>
          <w:sz w:val="24"/>
          <w:szCs w:val="24"/>
          <w:lang w:val="en-US"/>
        </w:rPr>
        <w:t>;</w:t>
      </w:r>
      <w:r w:rsidRPr="00810E36">
        <w:rPr>
          <w:rFonts w:asciiTheme="majorBidi" w:hAnsiTheme="majorBidi" w:cstheme="majorBidi"/>
          <w:sz w:val="24"/>
          <w:szCs w:val="24"/>
          <w:lang w:val="en-US"/>
        </w:rPr>
        <w:t xml:space="preserve"> </w:t>
      </w:r>
      <w:r w:rsidR="00F31986" w:rsidRPr="00F31986">
        <w:rPr>
          <w:rFonts w:asciiTheme="majorBidi" w:hAnsiTheme="majorBidi" w:cstheme="majorBidi"/>
          <w:sz w:val="24"/>
          <w:szCs w:val="24"/>
          <w:lang w:val="en-US"/>
        </w:rPr>
        <w:t xml:space="preserve">Bartolini, </w:t>
      </w:r>
      <w:r w:rsidRPr="00BC434D">
        <w:rPr>
          <w:rFonts w:asciiTheme="majorBidi" w:hAnsiTheme="majorBidi" w:cstheme="majorBidi"/>
          <w:sz w:val="24"/>
          <w:szCs w:val="24"/>
          <w:lang w:val="en-US"/>
        </w:rPr>
        <w:t xml:space="preserve">Francesca, “Digital Inheritance and Post Mortem Data Protection: The Italian Reform” in </w:t>
      </w:r>
      <w:r w:rsidRPr="00BC434D">
        <w:rPr>
          <w:rFonts w:asciiTheme="majorBidi" w:hAnsiTheme="majorBidi" w:cstheme="majorBidi"/>
          <w:i/>
          <w:iCs/>
          <w:sz w:val="24"/>
          <w:szCs w:val="24"/>
          <w:lang w:val="en-US"/>
        </w:rPr>
        <w:t>European Review of Private Law</w:t>
      </w:r>
      <w:r w:rsidRPr="00BC434D">
        <w:rPr>
          <w:rFonts w:asciiTheme="majorBidi" w:hAnsiTheme="majorBidi" w:cstheme="majorBidi"/>
          <w:sz w:val="24"/>
          <w:szCs w:val="24"/>
          <w:lang w:val="en-US"/>
        </w:rPr>
        <w:t xml:space="preserve">, </w:t>
      </w:r>
      <w:r w:rsidRPr="00BC434D">
        <w:rPr>
          <w:rFonts w:asciiTheme="majorBidi" w:hAnsiTheme="majorBidi" w:cstheme="majorBidi"/>
          <w:i/>
          <w:iCs/>
          <w:sz w:val="24"/>
          <w:szCs w:val="24"/>
          <w:lang w:val="en-US"/>
        </w:rPr>
        <w:t>Bocconi Legal Studies Research Paper</w:t>
      </w:r>
      <w:r w:rsidRPr="00BC434D">
        <w:rPr>
          <w:rFonts w:asciiTheme="majorBidi" w:hAnsiTheme="majorBidi" w:cstheme="majorBidi"/>
          <w:sz w:val="24"/>
          <w:szCs w:val="24"/>
          <w:lang w:val="en-US"/>
        </w:rPr>
        <w:t>, 2019</w:t>
      </w:r>
      <w:r>
        <w:rPr>
          <w:rFonts w:asciiTheme="majorBidi" w:hAnsiTheme="majorBidi" w:cstheme="majorBidi"/>
          <w:sz w:val="24"/>
          <w:szCs w:val="24"/>
          <w:lang w:val="en-US"/>
        </w:rPr>
        <w:t xml:space="preserve">. </w:t>
      </w:r>
      <w:r w:rsidR="00452CED">
        <w:rPr>
          <w:rFonts w:asciiTheme="majorBidi" w:hAnsiTheme="majorBidi" w:cstheme="majorBidi"/>
          <w:sz w:val="24"/>
          <w:szCs w:val="24"/>
          <w:lang w:val="en-US"/>
        </w:rPr>
        <w:br/>
        <w:t>Retrie</w:t>
      </w:r>
      <w:r w:rsidR="006C3320">
        <w:rPr>
          <w:rFonts w:asciiTheme="majorBidi" w:hAnsiTheme="majorBidi" w:cstheme="majorBidi"/>
          <w:sz w:val="24"/>
          <w:szCs w:val="24"/>
          <w:lang w:val="en-US"/>
        </w:rPr>
        <w:t xml:space="preserve">ved from: </w:t>
      </w:r>
      <w:hyperlink r:id="rId15" w:history="1">
        <w:r w:rsidR="006C3320" w:rsidRPr="00303F7D">
          <w:rPr>
            <w:rStyle w:val="Hyperlink"/>
            <w:rFonts w:asciiTheme="majorBidi" w:hAnsiTheme="majorBidi" w:cstheme="majorBidi"/>
            <w:sz w:val="24"/>
            <w:szCs w:val="24"/>
            <w:lang w:val="en-US"/>
          </w:rPr>
          <w:t>https://papers.ssrn.com/sol3/papers.cfm?abstract_id=3397974</w:t>
        </w:r>
      </w:hyperlink>
    </w:p>
    <w:p w14:paraId="68B957A8" w14:textId="77777777" w:rsidR="001B0A36" w:rsidRPr="006C3320" w:rsidRDefault="001B0A36" w:rsidP="006C3320">
      <w:pPr>
        <w:pStyle w:val="FootnoteText"/>
        <w:numPr>
          <w:ilvl w:val="0"/>
          <w:numId w:val="19"/>
        </w:numPr>
        <w:spacing w:line="276" w:lineRule="auto"/>
        <w:rPr>
          <w:rFonts w:asciiTheme="majorBidi" w:hAnsiTheme="majorBidi" w:cstheme="majorBidi"/>
          <w:sz w:val="24"/>
          <w:szCs w:val="24"/>
          <w:lang w:val="en-US"/>
        </w:rPr>
      </w:pPr>
      <w:r w:rsidRPr="006C3320">
        <w:rPr>
          <w:rFonts w:asciiTheme="majorBidi" w:hAnsiTheme="majorBidi" w:cstheme="majorBidi"/>
          <w:sz w:val="24"/>
          <w:szCs w:val="24"/>
          <w:lang w:val="en-US"/>
        </w:rPr>
        <w:t xml:space="preserve">Pelletier Jr., George Michael Roy Sonnenreich, “A Comparative Analysis of Civil Law Succession” in </w:t>
      </w:r>
      <w:r w:rsidRPr="006C3320">
        <w:rPr>
          <w:rFonts w:asciiTheme="majorBidi" w:hAnsiTheme="majorBidi" w:cstheme="majorBidi"/>
          <w:i/>
          <w:iCs/>
          <w:sz w:val="24"/>
          <w:szCs w:val="24"/>
          <w:lang w:val="en-US"/>
        </w:rPr>
        <w:t>Villanova Law Review</w:t>
      </w:r>
      <w:r w:rsidRPr="006C3320">
        <w:rPr>
          <w:rFonts w:asciiTheme="majorBidi" w:hAnsiTheme="majorBidi" w:cstheme="majorBidi"/>
          <w:sz w:val="24"/>
          <w:szCs w:val="24"/>
          <w:lang w:val="en-US"/>
        </w:rPr>
        <w:t>., vol. 11, 1966.</w:t>
      </w:r>
    </w:p>
    <w:p w14:paraId="2964B07C" w14:textId="77777777" w:rsidR="001B0A36" w:rsidRDefault="001B0A36" w:rsidP="00D848BE">
      <w:pPr>
        <w:pStyle w:val="FootnoteText"/>
        <w:numPr>
          <w:ilvl w:val="0"/>
          <w:numId w:val="19"/>
        </w:numPr>
        <w:spacing w:line="276" w:lineRule="auto"/>
        <w:rPr>
          <w:rFonts w:asciiTheme="majorBidi" w:hAnsiTheme="majorBidi" w:cstheme="majorBidi"/>
          <w:sz w:val="24"/>
          <w:szCs w:val="24"/>
          <w:lang w:val="en-US"/>
        </w:rPr>
      </w:pPr>
      <w:r w:rsidRPr="00BC434D">
        <w:rPr>
          <w:rFonts w:asciiTheme="majorBidi" w:hAnsiTheme="majorBidi" w:cstheme="majorBidi"/>
          <w:sz w:val="24"/>
          <w:szCs w:val="24"/>
          <w:lang w:val="en-US"/>
        </w:rPr>
        <w:t>Rabe</w:t>
      </w:r>
      <w:r w:rsidRPr="00BC434D">
        <w:rPr>
          <w:rFonts w:asciiTheme="majorBidi" w:hAnsiTheme="majorBidi" w:cstheme="majorBidi"/>
          <w:i/>
          <w:iCs/>
          <w:sz w:val="24"/>
          <w:szCs w:val="24"/>
          <w:lang w:val="en-US"/>
        </w:rPr>
        <w:t xml:space="preserve"> </w:t>
      </w:r>
      <w:r w:rsidRPr="00BC434D">
        <w:rPr>
          <w:rFonts w:asciiTheme="majorBidi" w:hAnsiTheme="majorBidi" w:cstheme="majorBidi"/>
          <w:sz w:val="24"/>
          <w:szCs w:val="24"/>
          <w:lang w:val="en-US"/>
        </w:rPr>
        <w:t>Smolensky, Kirsten</w:t>
      </w:r>
      <w:r>
        <w:rPr>
          <w:rFonts w:asciiTheme="majorBidi" w:hAnsiTheme="majorBidi" w:cstheme="majorBidi"/>
          <w:sz w:val="24"/>
          <w:szCs w:val="24"/>
          <w:lang w:val="en-US"/>
        </w:rPr>
        <w:t>,</w:t>
      </w:r>
      <w:r w:rsidRPr="00BC434D">
        <w:rPr>
          <w:rFonts w:asciiTheme="majorBidi" w:hAnsiTheme="majorBidi" w:cstheme="majorBidi"/>
          <w:sz w:val="24"/>
          <w:szCs w:val="24"/>
          <w:lang w:val="en-US"/>
        </w:rPr>
        <w:t xml:space="preserve"> “Rights of the Dead” in </w:t>
      </w:r>
      <w:r w:rsidRPr="00BC434D">
        <w:rPr>
          <w:rFonts w:asciiTheme="majorBidi" w:hAnsiTheme="majorBidi" w:cstheme="majorBidi"/>
          <w:i/>
          <w:iCs/>
          <w:sz w:val="24"/>
          <w:szCs w:val="24"/>
          <w:lang w:val="en-US"/>
        </w:rPr>
        <w:t xml:space="preserve">Hofstra Law </w:t>
      </w:r>
      <w:r w:rsidRPr="00BC434D">
        <w:rPr>
          <w:rFonts w:asciiTheme="majorBidi" w:hAnsiTheme="majorBidi" w:cstheme="majorBidi"/>
          <w:sz w:val="24"/>
          <w:szCs w:val="24"/>
          <w:lang w:val="en-US"/>
        </w:rPr>
        <w:t>Review, vol. 37, 2008</w:t>
      </w:r>
      <w:r>
        <w:rPr>
          <w:rFonts w:asciiTheme="majorBidi" w:hAnsiTheme="majorBidi" w:cstheme="majorBidi"/>
          <w:sz w:val="24"/>
          <w:szCs w:val="24"/>
          <w:lang w:val="en-US"/>
        </w:rPr>
        <w:t xml:space="preserve">. </w:t>
      </w:r>
    </w:p>
    <w:p w14:paraId="16D34078" w14:textId="77777777" w:rsidR="001B0A36" w:rsidRPr="002D0327" w:rsidRDefault="001B0A36" w:rsidP="00D848BE">
      <w:pPr>
        <w:pStyle w:val="FootnoteText"/>
        <w:numPr>
          <w:ilvl w:val="0"/>
          <w:numId w:val="19"/>
        </w:numPr>
        <w:spacing w:line="276" w:lineRule="auto"/>
        <w:rPr>
          <w:rFonts w:asciiTheme="majorBidi" w:hAnsiTheme="majorBidi" w:cstheme="majorBidi"/>
          <w:sz w:val="24"/>
          <w:szCs w:val="24"/>
          <w:lang w:val="de-DE"/>
        </w:rPr>
      </w:pPr>
      <w:r w:rsidRPr="002D0327">
        <w:rPr>
          <w:rFonts w:asciiTheme="majorBidi" w:hAnsiTheme="majorBidi" w:cstheme="majorBidi"/>
          <w:sz w:val="24"/>
          <w:szCs w:val="24"/>
          <w:lang w:val="de-DE"/>
        </w:rPr>
        <w:t>Rb Amsterdam 12 december 2003, KG 2003, 1363 m.nt. GJZ (Uitspraak voorzieningenrechter particulier/Stichting Digitaal Monument Joodse Gemeenschap)</w:t>
      </w:r>
    </w:p>
    <w:p w14:paraId="415CF0A5" w14:textId="77777777" w:rsidR="001B0A36" w:rsidRDefault="001B0A36" w:rsidP="00D848BE">
      <w:pPr>
        <w:pStyle w:val="FootnoteText"/>
        <w:numPr>
          <w:ilvl w:val="0"/>
          <w:numId w:val="19"/>
        </w:numPr>
        <w:spacing w:line="276" w:lineRule="auto"/>
        <w:rPr>
          <w:rFonts w:asciiTheme="majorBidi" w:hAnsiTheme="majorBidi" w:cstheme="majorBidi"/>
          <w:sz w:val="24"/>
          <w:szCs w:val="24"/>
          <w:lang w:val="en-US"/>
        </w:rPr>
      </w:pPr>
      <w:r w:rsidRPr="00BC434D">
        <w:rPr>
          <w:rFonts w:asciiTheme="majorBidi" w:hAnsiTheme="majorBidi" w:cstheme="majorBidi"/>
          <w:sz w:val="24"/>
          <w:szCs w:val="24"/>
          <w:lang w:val="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[2016] OJ (Official Journal of the European Union) L 119/1, recital 27.</w:t>
      </w:r>
    </w:p>
    <w:p w14:paraId="2588B47F" w14:textId="77777777" w:rsidR="001B0A36" w:rsidRDefault="001B0A36" w:rsidP="00D848BE">
      <w:pPr>
        <w:pStyle w:val="FootnoteText"/>
        <w:numPr>
          <w:ilvl w:val="0"/>
          <w:numId w:val="19"/>
        </w:numPr>
        <w:spacing w:line="276" w:lineRule="auto"/>
        <w:rPr>
          <w:rFonts w:asciiTheme="majorBidi" w:hAnsiTheme="majorBidi" w:cstheme="majorBidi"/>
          <w:sz w:val="24"/>
          <w:szCs w:val="24"/>
          <w:lang w:val="en-US"/>
        </w:rPr>
      </w:pPr>
      <w:r w:rsidRPr="00BC434D">
        <w:rPr>
          <w:rFonts w:asciiTheme="majorBidi" w:hAnsiTheme="majorBidi" w:cstheme="majorBidi"/>
          <w:sz w:val="24"/>
          <w:szCs w:val="24"/>
          <w:lang w:val="en-US"/>
        </w:rPr>
        <w:t>Resta,</w:t>
      </w:r>
      <w:r w:rsidRPr="00810E36">
        <w:rPr>
          <w:rFonts w:asciiTheme="majorBidi" w:hAnsiTheme="majorBidi" w:cstheme="majorBidi"/>
          <w:sz w:val="24"/>
          <w:szCs w:val="24"/>
          <w:lang w:val="en-US"/>
        </w:rPr>
        <w:t xml:space="preserve"> </w:t>
      </w:r>
      <w:r w:rsidRPr="00BC434D">
        <w:rPr>
          <w:rFonts w:asciiTheme="majorBidi" w:hAnsiTheme="majorBidi" w:cstheme="majorBidi"/>
          <w:sz w:val="24"/>
          <w:szCs w:val="24"/>
          <w:lang w:val="en-US"/>
        </w:rPr>
        <w:t>Giorgio</w:t>
      </w:r>
      <w:r>
        <w:rPr>
          <w:rFonts w:asciiTheme="majorBidi" w:hAnsiTheme="majorBidi" w:cstheme="majorBidi"/>
          <w:sz w:val="24"/>
          <w:szCs w:val="24"/>
          <w:lang w:val="en-US"/>
        </w:rPr>
        <w:t>,</w:t>
      </w:r>
      <w:r w:rsidRPr="00BC434D">
        <w:rPr>
          <w:rFonts w:asciiTheme="majorBidi" w:hAnsiTheme="majorBidi" w:cstheme="majorBidi"/>
          <w:sz w:val="24"/>
          <w:szCs w:val="24"/>
          <w:lang w:val="en-US"/>
        </w:rPr>
        <w:t xml:space="preserve"> “Personal data and digital assets after death: a comparative law perspective on the BGH Facebook ruling” in </w:t>
      </w:r>
      <w:r w:rsidRPr="00BC434D">
        <w:rPr>
          <w:rFonts w:asciiTheme="majorBidi" w:hAnsiTheme="majorBidi" w:cstheme="majorBidi"/>
          <w:i/>
          <w:iCs/>
          <w:sz w:val="24"/>
          <w:szCs w:val="24"/>
          <w:lang w:val="en-US"/>
        </w:rPr>
        <w:t>Journal of European Consumer and Market Law</w:t>
      </w:r>
      <w:r w:rsidRPr="00BC434D">
        <w:rPr>
          <w:rFonts w:asciiTheme="majorBidi" w:hAnsiTheme="majorBidi" w:cstheme="majorBidi"/>
          <w:sz w:val="24"/>
          <w:szCs w:val="24"/>
          <w:lang w:val="en-US"/>
        </w:rPr>
        <w:t>, vol. 7(5), 2018</w:t>
      </w:r>
      <w:r>
        <w:rPr>
          <w:rFonts w:asciiTheme="majorBidi" w:hAnsiTheme="majorBidi" w:cstheme="majorBidi"/>
          <w:sz w:val="24"/>
          <w:szCs w:val="24"/>
          <w:lang w:val="en-US"/>
        </w:rPr>
        <w:t xml:space="preserve">. </w:t>
      </w:r>
    </w:p>
    <w:p w14:paraId="08813BB7" w14:textId="0A4F6BB7" w:rsidR="001B0A36" w:rsidRPr="00BC434D" w:rsidRDefault="001B0A36" w:rsidP="00D848BE">
      <w:pPr>
        <w:pStyle w:val="FootnoteText"/>
        <w:numPr>
          <w:ilvl w:val="0"/>
          <w:numId w:val="19"/>
        </w:numPr>
        <w:spacing w:line="276" w:lineRule="auto"/>
        <w:rPr>
          <w:rFonts w:asciiTheme="majorBidi" w:hAnsiTheme="majorBidi" w:cstheme="majorBidi"/>
          <w:sz w:val="24"/>
          <w:szCs w:val="24"/>
          <w:lang w:val="en-US"/>
        </w:rPr>
      </w:pPr>
      <w:r w:rsidRPr="00BC434D">
        <w:rPr>
          <w:rFonts w:asciiTheme="majorBidi" w:hAnsiTheme="majorBidi" w:cstheme="majorBidi"/>
          <w:sz w:val="24"/>
          <w:szCs w:val="24"/>
          <w:lang w:val="en-US"/>
        </w:rPr>
        <w:t>Schubauer,</w:t>
      </w:r>
      <w:r w:rsidRPr="00810E36">
        <w:rPr>
          <w:rFonts w:asciiTheme="majorBidi" w:hAnsiTheme="majorBidi" w:cstheme="majorBidi"/>
          <w:sz w:val="24"/>
          <w:szCs w:val="24"/>
          <w:lang w:val="en-US"/>
        </w:rPr>
        <w:t xml:space="preserve"> Petra</w:t>
      </w:r>
      <w:r>
        <w:rPr>
          <w:rFonts w:asciiTheme="majorBidi" w:hAnsiTheme="majorBidi" w:cstheme="majorBidi"/>
          <w:sz w:val="24"/>
          <w:szCs w:val="24"/>
          <w:lang w:val="en-US"/>
        </w:rPr>
        <w:t>,</w:t>
      </w:r>
      <w:r w:rsidRPr="00BC434D">
        <w:rPr>
          <w:rFonts w:asciiTheme="majorBidi" w:hAnsiTheme="majorBidi" w:cstheme="majorBidi"/>
          <w:sz w:val="24"/>
          <w:szCs w:val="24"/>
          <w:lang w:val="en-US"/>
        </w:rPr>
        <w:t xml:space="preserve"> “Legal Protection of Personal Data Relating to Personality, in Particular Certain Aspects of Post-mortem Privacy</w:t>
      </w:r>
      <w:r w:rsidR="00697F66" w:rsidRPr="00BC434D">
        <w:rPr>
          <w:rFonts w:asciiTheme="majorBidi" w:hAnsiTheme="majorBidi" w:cstheme="majorBidi"/>
          <w:sz w:val="24"/>
          <w:szCs w:val="24"/>
          <w:lang w:val="en-US"/>
        </w:rPr>
        <w:t>,”</w:t>
      </w:r>
      <w:r w:rsidRPr="00BC434D">
        <w:rPr>
          <w:rFonts w:asciiTheme="majorBidi" w:hAnsiTheme="majorBidi" w:cstheme="majorBidi"/>
          <w:sz w:val="24"/>
          <w:szCs w:val="24"/>
          <w:lang w:val="en-US"/>
        </w:rPr>
        <w:t xml:space="preserve"> Doctoral dissertation defended in 2021, Károli Gáspár University</w:t>
      </w:r>
      <w:r>
        <w:rPr>
          <w:rFonts w:asciiTheme="majorBidi" w:hAnsiTheme="majorBidi" w:cstheme="majorBidi"/>
          <w:sz w:val="24"/>
          <w:szCs w:val="24"/>
          <w:lang w:val="en-US"/>
        </w:rPr>
        <w:t>.</w:t>
      </w:r>
    </w:p>
    <w:p w14:paraId="60DC8B35" w14:textId="77777777" w:rsidR="001B0A36" w:rsidRDefault="001B0A36" w:rsidP="00D848BE">
      <w:pPr>
        <w:pStyle w:val="FootnoteText"/>
        <w:numPr>
          <w:ilvl w:val="0"/>
          <w:numId w:val="19"/>
        </w:numPr>
        <w:spacing w:line="276" w:lineRule="auto"/>
        <w:rPr>
          <w:rFonts w:asciiTheme="majorBidi" w:hAnsiTheme="majorBidi" w:cstheme="majorBidi"/>
          <w:sz w:val="24"/>
          <w:szCs w:val="24"/>
          <w:lang w:val="en-US"/>
        </w:rPr>
      </w:pPr>
      <w:r w:rsidRPr="00BC434D">
        <w:rPr>
          <w:rFonts w:asciiTheme="majorBidi" w:hAnsiTheme="majorBidi" w:cstheme="majorBidi"/>
          <w:sz w:val="24"/>
          <w:szCs w:val="24"/>
          <w:lang w:val="en-US"/>
        </w:rPr>
        <w:t>Sperling, Daniel</w:t>
      </w:r>
      <w:r>
        <w:rPr>
          <w:rFonts w:asciiTheme="majorBidi" w:hAnsiTheme="majorBidi" w:cstheme="majorBidi"/>
          <w:sz w:val="24"/>
          <w:szCs w:val="24"/>
          <w:lang w:val="en-US"/>
        </w:rPr>
        <w:t>,</w:t>
      </w:r>
      <w:r w:rsidRPr="00BC434D">
        <w:rPr>
          <w:rFonts w:asciiTheme="majorBidi" w:hAnsiTheme="majorBidi" w:cstheme="majorBidi"/>
          <w:sz w:val="24"/>
          <w:szCs w:val="24"/>
          <w:lang w:val="en-US"/>
        </w:rPr>
        <w:t xml:space="preserve"> “Posthumous interests: legal and ethical perspectives” in </w:t>
      </w:r>
      <w:r w:rsidRPr="00BC434D">
        <w:rPr>
          <w:rFonts w:asciiTheme="majorBidi" w:hAnsiTheme="majorBidi" w:cstheme="majorBidi"/>
          <w:i/>
          <w:iCs/>
          <w:sz w:val="24"/>
          <w:szCs w:val="24"/>
          <w:lang w:val="en-US"/>
        </w:rPr>
        <w:t>Cambridge: Cambridge University Press</w:t>
      </w:r>
      <w:r w:rsidRPr="00BC434D">
        <w:rPr>
          <w:rFonts w:asciiTheme="majorBidi" w:hAnsiTheme="majorBidi" w:cstheme="majorBidi"/>
          <w:sz w:val="24"/>
          <w:szCs w:val="24"/>
          <w:lang w:val="en-US"/>
        </w:rPr>
        <w:t>, 2008</w:t>
      </w:r>
      <w:r>
        <w:rPr>
          <w:rFonts w:asciiTheme="majorBidi" w:hAnsiTheme="majorBidi" w:cstheme="majorBidi"/>
          <w:sz w:val="24"/>
          <w:szCs w:val="24"/>
          <w:lang w:val="en-US"/>
        </w:rPr>
        <w:t>. (“Promises to the Dead | Royal Institute of Philosophy Supplements ...”)</w:t>
      </w:r>
    </w:p>
    <w:p w14:paraId="07D56525" w14:textId="77777777" w:rsidR="001B0A36" w:rsidRPr="00FF31C8" w:rsidRDefault="001B0A36" w:rsidP="00D848BE">
      <w:pPr>
        <w:pStyle w:val="FootnoteText"/>
        <w:numPr>
          <w:ilvl w:val="0"/>
          <w:numId w:val="19"/>
        </w:numPr>
        <w:spacing w:line="276" w:lineRule="auto"/>
        <w:rPr>
          <w:rFonts w:asciiTheme="majorBidi" w:hAnsiTheme="majorBidi" w:cstheme="majorBidi"/>
          <w:sz w:val="24"/>
          <w:szCs w:val="24"/>
          <w:lang w:val="fr-BE"/>
        </w:rPr>
      </w:pPr>
      <w:r w:rsidRPr="00FF31C8">
        <w:rPr>
          <w:rFonts w:asciiTheme="majorBidi" w:hAnsiTheme="majorBidi" w:cstheme="majorBidi"/>
          <w:sz w:val="24"/>
          <w:szCs w:val="24"/>
          <w:lang w:val="fr-BE"/>
        </w:rPr>
        <w:t>Tribunale Ordinario di Milano, N. R.G. 2020/44578.</w:t>
      </w:r>
    </w:p>
    <w:p w14:paraId="2095FDB5" w14:textId="77777777" w:rsidR="001B0A36" w:rsidRDefault="001B0A36" w:rsidP="00D848BE">
      <w:pPr>
        <w:pStyle w:val="FootnoteText"/>
        <w:numPr>
          <w:ilvl w:val="0"/>
          <w:numId w:val="19"/>
        </w:numPr>
        <w:spacing w:line="276" w:lineRule="auto"/>
        <w:rPr>
          <w:rFonts w:asciiTheme="majorBidi" w:hAnsiTheme="majorBidi" w:cstheme="majorBidi"/>
          <w:sz w:val="24"/>
          <w:szCs w:val="24"/>
          <w:lang w:val="en-US"/>
        </w:rPr>
      </w:pPr>
      <w:r w:rsidRPr="00BC434D">
        <w:rPr>
          <w:rFonts w:asciiTheme="majorBidi" w:hAnsiTheme="majorBidi" w:cstheme="majorBidi"/>
          <w:sz w:val="24"/>
          <w:szCs w:val="24"/>
          <w:lang w:val="en-US"/>
        </w:rPr>
        <w:t>Tūbaitė-Stalauskienė, Asta</w:t>
      </w:r>
      <w:r>
        <w:rPr>
          <w:rFonts w:asciiTheme="majorBidi" w:hAnsiTheme="majorBidi" w:cstheme="majorBidi"/>
          <w:sz w:val="24"/>
          <w:szCs w:val="24"/>
          <w:lang w:val="en-US"/>
        </w:rPr>
        <w:t>,</w:t>
      </w:r>
      <w:r w:rsidRPr="00BC434D" w:rsidDel="00810E36">
        <w:rPr>
          <w:rFonts w:asciiTheme="majorBidi" w:hAnsiTheme="majorBidi" w:cstheme="majorBidi"/>
          <w:sz w:val="24"/>
          <w:szCs w:val="24"/>
          <w:lang w:val="en-US"/>
        </w:rPr>
        <w:t xml:space="preserve"> </w:t>
      </w:r>
      <w:r w:rsidRPr="00BC434D">
        <w:rPr>
          <w:rFonts w:asciiTheme="majorBidi" w:hAnsiTheme="majorBidi" w:cstheme="majorBidi"/>
          <w:sz w:val="24"/>
          <w:szCs w:val="24"/>
          <w:lang w:val="en-US"/>
        </w:rPr>
        <w:t xml:space="preserve">Data Protection Post-Mortem” in </w:t>
      </w:r>
      <w:r w:rsidRPr="00BC434D">
        <w:rPr>
          <w:rFonts w:asciiTheme="majorBidi" w:hAnsiTheme="majorBidi" w:cstheme="majorBidi"/>
          <w:i/>
          <w:iCs/>
          <w:sz w:val="24"/>
          <w:szCs w:val="24"/>
          <w:lang w:val="en-US"/>
        </w:rPr>
        <w:t>International Comparative Jurisprudence</w:t>
      </w:r>
      <w:r w:rsidRPr="00BC434D">
        <w:rPr>
          <w:rFonts w:asciiTheme="majorBidi" w:hAnsiTheme="majorBidi" w:cstheme="majorBidi"/>
          <w:sz w:val="24"/>
          <w:szCs w:val="24"/>
          <w:lang w:val="en-US"/>
        </w:rPr>
        <w:t>, Vol. 4, 2018</w:t>
      </w:r>
      <w:r>
        <w:rPr>
          <w:rFonts w:asciiTheme="majorBidi" w:hAnsiTheme="majorBidi" w:cstheme="majorBidi"/>
          <w:sz w:val="24"/>
          <w:szCs w:val="24"/>
          <w:lang w:val="en-US"/>
        </w:rPr>
        <w:t xml:space="preserve">. </w:t>
      </w:r>
    </w:p>
    <w:p w14:paraId="3532C43F" w14:textId="77777777" w:rsidR="001B0A36" w:rsidRDefault="001B0A36" w:rsidP="00D848BE">
      <w:pPr>
        <w:pStyle w:val="FootnoteText"/>
        <w:numPr>
          <w:ilvl w:val="0"/>
          <w:numId w:val="19"/>
        </w:numPr>
        <w:spacing w:line="276" w:lineRule="auto"/>
        <w:rPr>
          <w:rFonts w:asciiTheme="majorBidi" w:hAnsiTheme="majorBidi" w:cstheme="majorBidi"/>
          <w:sz w:val="24"/>
          <w:szCs w:val="24"/>
          <w:lang w:val="en-US"/>
        </w:rPr>
      </w:pPr>
      <w:r w:rsidRPr="00BC434D">
        <w:rPr>
          <w:rFonts w:asciiTheme="majorBidi" w:hAnsiTheme="majorBidi" w:cstheme="majorBidi"/>
          <w:sz w:val="24"/>
          <w:szCs w:val="24"/>
          <w:lang w:val="en-US"/>
        </w:rPr>
        <w:t>Van der Sloot,</w:t>
      </w:r>
      <w:r w:rsidRPr="00810E36">
        <w:rPr>
          <w:rFonts w:asciiTheme="majorBidi" w:hAnsiTheme="majorBidi" w:cstheme="majorBidi"/>
          <w:sz w:val="24"/>
          <w:szCs w:val="24"/>
          <w:lang w:val="en-US"/>
        </w:rPr>
        <w:t xml:space="preserve"> </w:t>
      </w:r>
      <w:r w:rsidRPr="00BC434D">
        <w:rPr>
          <w:rFonts w:asciiTheme="majorBidi" w:hAnsiTheme="majorBidi" w:cstheme="majorBidi"/>
          <w:sz w:val="24"/>
          <w:szCs w:val="24"/>
          <w:lang w:val="en-US"/>
        </w:rPr>
        <w:t>Bart</w:t>
      </w:r>
      <w:r>
        <w:rPr>
          <w:rFonts w:asciiTheme="majorBidi" w:hAnsiTheme="majorBidi" w:cstheme="majorBidi"/>
          <w:sz w:val="24"/>
          <w:szCs w:val="24"/>
          <w:lang w:val="en-US"/>
        </w:rPr>
        <w:t>,</w:t>
      </w:r>
      <w:r w:rsidRPr="00BC434D">
        <w:rPr>
          <w:rFonts w:asciiTheme="majorBidi" w:hAnsiTheme="majorBidi" w:cstheme="majorBidi"/>
          <w:sz w:val="24"/>
          <w:szCs w:val="24"/>
          <w:lang w:val="en-US"/>
        </w:rPr>
        <w:t xml:space="preserve"> Decisional privacy 2.0: the procedural requirements implicit in Article 8 ECHR and its potential impact on profiling.</w:t>
      </w:r>
      <w:r>
        <w:rPr>
          <w:rFonts w:asciiTheme="majorBidi" w:hAnsiTheme="majorBidi" w:cstheme="majorBidi"/>
          <w:sz w:val="24"/>
          <w:szCs w:val="24"/>
          <w:lang w:val="en-US"/>
        </w:rPr>
        <w:t>”</w:t>
      </w:r>
      <w:r w:rsidRPr="00BC434D">
        <w:rPr>
          <w:rFonts w:asciiTheme="majorBidi" w:hAnsiTheme="majorBidi" w:cstheme="majorBidi"/>
          <w:sz w:val="24"/>
          <w:szCs w:val="24"/>
          <w:lang w:val="en-US"/>
        </w:rPr>
        <w:t xml:space="preserve"> In </w:t>
      </w:r>
      <w:r w:rsidRPr="00BC434D">
        <w:rPr>
          <w:rFonts w:asciiTheme="majorBidi" w:hAnsiTheme="majorBidi" w:cstheme="majorBidi"/>
          <w:i/>
          <w:iCs/>
          <w:sz w:val="24"/>
          <w:szCs w:val="24"/>
          <w:lang w:val="en-US"/>
        </w:rPr>
        <w:t>International Data Privacy Law</w:t>
      </w:r>
      <w:r w:rsidRPr="00BC434D">
        <w:rPr>
          <w:rFonts w:asciiTheme="majorBidi" w:hAnsiTheme="majorBidi" w:cstheme="majorBidi"/>
          <w:sz w:val="24"/>
          <w:szCs w:val="24"/>
          <w:lang w:val="en-US"/>
        </w:rPr>
        <w:t>, Vol. 7(3), 2017</w:t>
      </w:r>
      <w:r>
        <w:rPr>
          <w:rFonts w:asciiTheme="majorBidi" w:hAnsiTheme="majorBidi" w:cstheme="majorBidi"/>
          <w:sz w:val="24"/>
          <w:szCs w:val="24"/>
          <w:lang w:val="en-US"/>
        </w:rPr>
        <w:t>.</w:t>
      </w:r>
    </w:p>
    <w:p w14:paraId="779F8744" w14:textId="77777777" w:rsidR="001B0A36" w:rsidRDefault="001B0A36" w:rsidP="00D848BE">
      <w:pPr>
        <w:pStyle w:val="FootnoteText"/>
        <w:numPr>
          <w:ilvl w:val="0"/>
          <w:numId w:val="19"/>
        </w:numPr>
        <w:spacing w:line="276" w:lineRule="auto"/>
        <w:rPr>
          <w:rFonts w:asciiTheme="majorBidi" w:hAnsiTheme="majorBidi" w:cstheme="majorBidi"/>
          <w:sz w:val="24"/>
          <w:szCs w:val="24"/>
          <w:lang w:val="en-US"/>
        </w:rPr>
      </w:pPr>
      <w:r w:rsidRPr="00BC434D">
        <w:rPr>
          <w:rFonts w:asciiTheme="majorBidi" w:hAnsiTheme="majorBidi" w:cstheme="majorBidi"/>
          <w:sz w:val="24"/>
          <w:szCs w:val="24"/>
          <w:lang w:val="en-US"/>
        </w:rPr>
        <w:lastRenderedPageBreak/>
        <w:t>Zhao, Bo</w:t>
      </w:r>
      <w:r>
        <w:rPr>
          <w:rFonts w:asciiTheme="majorBidi" w:hAnsiTheme="majorBidi" w:cstheme="majorBidi"/>
          <w:sz w:val="24"/>
          <w:szCs w:val="24"/>
          <w:lang w:val="en-US"/>
        </w:rPr>
        <w:t>,</w:t>
      </w:r>
      <w:r w:rsidRPr="00BC434D">
        <w:rPr>
          <w:rFonts w:asciiTheme="majorBidi" w:hAnsiTheme="majorBidi" w:cstheme="majorBidi"/>
          <w:sz w:val="24"/>
          <w:szCs w:val="24"/>
          <w:lang w:val="en-US"/>
        </w:rPr>
        <w:t xml:space="preserve"> “Posthumous Defamation and Posthumous Privacy Cases in the Digital Age” in </w:t>
      </w:r>
      <w:r w:rsidRPr="00BC434D">
        <w:rPr>
          <w:rFonts w:asciiTheme="majorBidi" w:hAnsiTheme="majorBidi" w:cstheme="majorBidi"/>
          <w:i/>
          <w:iCs/>
          <w:sz w:val="24"/>
          <w:szCs w:val="24"/>
          <w:lang w:val="en-US"/>
        </w:rPr>
        <w:t>Savannah Law Review</w:t>
      </w:r>
      <w:r w:rsidRPr="00BC434D">
        <w:rPr>
          <w:rFonts w:asciiTheme="majorBidi" w:hAnsiTheme="majorBidi" w:cstheme="majorBidi"/>
          <w:sz w:val="24"/>
          <w:szCs w:val="24"/>
          <w:lang w:val="en-US"/>
        </w:rPr>
        <w:t>, Vol. 3, 2016</w:t>
      </w:r>
      <w:r>
        <w:rPr>
          <w:rFonts w:asciiTheme="majorBidi" w:hAnsiTheme="majorBidi" w:cstheme="majorBidi"/>
          <w:sz w:val="24"/>
          <w:szCs w:val="24"/>
          <w:lang w:val="en-US"/>
        </w:rPr>
        <w:t>.</w:t>
      </w:r>
    </w:p>
    <w:p w14:paraId="64954922" w14:textId="77777777" w:rsidR="002E26F4" w:rsidRPr="009C41FE" w:rsidRDefault="002E26F4" w:rsidP="00D848BE">
      <w:pPr>
        <w:widowControl w:val="0"/>
        <w:tabs>
          <w:tab w:val="left" w:pos="470"/>
        </w:tabs>
        <w:autoSpaceDE w:val="0"/>
        <w:autoSpaceDN w:val="0"/>
        <w:spacing w:after="0" w:line="276" w:lineRule="auto"/>
        <w:ind w:right="-2"/>
        <w:rPr>
          <w:rFonts w:asciiTheme="majorBidi" w:eastAsia="Times New Roman" w:hAnsiTheme="majorBidi" w:cstheme="majorBidi"/>
          <w:sz w:val="24"/>
          <w:szCs w:val="24"/>
          <w:lang w:val="en-US"/>
        </w:rPr>
      </w:pPr>
    </w:p>
    <w:p w14:paraId="2A05E67D" w14:textId="77777777" w:rsidR="002E26F4" w:rsidRPr="009C41FE" w:rsidRDefault="002E26F4" w:rsidP="00D848BE">
      <w:pPr>
        <w:pStyle w:val="Listofreferences"/>
        <w:spacing w:line="276" w:lineRule="auto"/>
        <w:ind w:left="0"/>
        <w:rPr>
          <w:rFonts w:asciiTheme="majorBidi" w:hAnsiTheme="majorBidi" w:cstheme="majorBidi"/>
          <w:szCs w:val="24"/>
          <w:lang w:val="en-US"/>
        </w:rPr>
      </w:pPr>
    </w:p>
    <w:p w14:paraId="7FEEB82C" w14:textId="77777777" w:rsidR="002E26F4" w:rsidRPr="009C41FE" w:rsidRDefault="002E26F4" w:rsidP="00D848BE">
      <w:pPr>
        <w:spacing w:line="276" w:lineRule="auto"/>
        <w:rPr>
          <w:rFonts w:asciiTheme="majorBidi" w:hAnsiTheme="majorBidi" w:cstheme="majorBidi"/>
          <w:sz w:val="24"/>
          <w:szCs w:val="24"/>
          <w:lang w:val="en-US"/>
        </w:rPr>
      </w:pPr>
    </w:p>
    <w:sectPr w:rsidR="002E26F4" w:rsidRPr="009C41FE" w:rsidSect="00BC434D">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i Simion" w:date="2023-09-29T22:17:00Z" w:initials="SS">
    <w:p w14:paraId="14C86C35" w14:textId="77777777" w:rsidR="00810E36" w:rsidRDefault="00810E36">
      <w:pPr>
        <w:pStyle w:val="CommentText"/>
      </w:pPr>
      <w:r>
        <w:rPr>
          <w:rStyle w:val="CommentReference"/>
        </w:rPr>
        <w:annotationRef/>
      </w:r>
      <w:r>
        <w:rPr>
          <w:b/>
          <w:bCs/>
          <w:color w:val="252525"/>
          <w:highlight w:val="white"/>
        </w:rPr>
        <w:t>3.1. Doctor? PhD student? </w:t>
      </w:r>
    </w:p>
    <w:p w14:paraId="67EBF183" w14:textId="77777777" w:rsidR="00810E36" w:rsidRDefault="00810E36">
      <w:pPr>
        <w:pStyle w:val="CommentText"/>
      </w:pPr>
      <w:r>
        <w:rPr>
          <w:b/>
          <w:bCs/>
          <w:color w:val="252525"/>
          <w:highlight w:val="white"/>
        </w:rPr>
        <w:t>3.2. University affiliation? Country perhaps? e.g. Georgia - Giorgi Urtmelidze ?</w:t>
      </w:r>
    </w:p>
    <w:p w14:paraId="619D1AA2" w14:textId="77777777" w:rsidR="00810E36" w:rsidRDefault="00810E36">
      <w:pPr>
        <w:pStyle w:val="CommentText"/>
      </w:pPr>
      <w:r>
        <w:rPr>
          <w:b/>
          <w:bCs/>
          <w:color w:val="252525"/>
          <w:highlight w:val="white"/>
        </w:rPr>
        <w:t>3.3. university title, professor?</w:t>
      </w:r>
    </w:p>
    <w:p w14:paraId="36F7F7FD" w14:textId="77777777" w:rsidR="00810E36" w:rsidRDefault="00810E36">
      <w:pPr>
        <w:pStyle w:val="CommentText"/>
      </w:pPr>
      <w:r>
        <w:rPr>
          <w:b/>
          <w:bCs/>
          <w:color w:val="252525"/>
          <w:highlight w:val="white"/>
        </w:rPr>
        <w:t>3.4. Field of research?</w:t>
      </w:r>
    </w:p>
  </w:comment>
  <w:comment w:id="3" w:author="Simi Simion" w:date="2023-09-29T22:19:00Z" w:initials="SS">
    <w:p w14:paraId="6A95BC59" w14:textId="77777777" w:rsidR="001B0A36" w:rsidRDefault="001B0A36">
      <w:pPr>
        <w:pStyle w:val="CommentText"/>
      </w:pPr>
      <w:r>
        <w:rPr>
          <w:rStyle w:val="CommentReference"/>
        </w:rPr>
        <w:annotationRef/>
      </w:r>
      <w:r>
        <w:rPr>
          <w:lang w:val="en-GB"/>
        </w:rPr>
        <w:t>Please start with the family name in bibliography, everywhere.  Then please arrange alphabetically, by family name, OK?</w:t>
      </w:r>
    </w:p>
  </w:comment>
  <w:comment w:id="4" w:author="Simi Simion" w:date="2023-09-29T22:17:00Z" w:initials="SS">
    <w:p w14:paraId="0D67829E" w14:textId="77777777" w:rsidR="001B0A36" w:rsidRDefault="001B0A36">
      <w:pPr>
        <w:pStyle w:val="CommentText"/>
      </w:pPr>
      <w:r>
        <w:rPr>
          <w:rStyle w:val="CommentReference"/>
        </w:rPr>
        <w:annotationRef/>
      </w:r>
      <w:r>
        <w:rPr>
          <w:lang w:val="en-GB"/>
        </w:rPr>
        <w:t xml:space="preserve">Repetition deleted,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F7F7FD" w15:done="0"/>
  <w15:commentEx w15:paraId="6A95BC59" w15:done="0"/>
  <w15:commentEx w15:paraId="0D6782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18A3FA7" w16cex:dateUtc="2023-09-29T19:17:00Z"/>
  <w16cex:commentExtensible w16cex:durableId="0669970F" w16cex:dateUtc="2023-09-29T1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F7F7FD" w16cid:durableId="418A3FA7"/>
  <w16cid:commentId w16cid:paraId="6A95BC59" w16cid:durableId="0669970F"/>
  <w16cid:commentId w16cid:paraId="0D67829E" w16cid:durableId="3672A3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669" w14:textId="77777777" w:rsidR="00E03B41" w:rsidRDefault="00E03B41" w:rsidP="002E26F4">
      <w:pPr>
        <w:spacing w:after="0" w:line="240" w:lineRule="auto"/>
      </w:pPr>
      <w:r>
        <w:separator/>
      </w:r>
    </w:p>
  </w:endnote>
  <w:endnote w:type="continuationSeparator" w:id="0">
    <w:p w14:paraId="3DD71588" w14:textId="77777777" w:rsidR="00E03B41" w:rsidRDefault="00E03B41" w:rsidP="002E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5343" w14:textId="77777777" w:rsidR="00E03B41" w:rsidRDefault="00E03B41" w:rsidP="002E26F4">
      <w:pPr>
        <w:spacing w:after="0" w:line="240" w:lineRule="auto"/>
      </w:pPr>
      <w:r>
        <w:separator/>
      </w:r>
    </w:p>
  </w:footnote>
  <w:footnote w:type="continuationSeparator" w:id="0">
    <w:p w14:paraId="225D4AB5" w14:textId="77777777" w:rsidR="00E03B41" w:rsidRDefault="00E03B41" w:rsidP="002E26F4">
      <w:pPr>
        <w:spacing w:after="0" w:line="240" w:lineRule="auto"/>
      </w:pPr>
      <w:r>
        <w:continuationSeparator/>
      </w:r>
    </w:p>
  </w:footnote>
  <w:footnote w:id="1">
    <w:p w14:paraId="1913A537" w14:textId="07097701" w:rsidR="009C41FE" w:rsidRPr="00784329" w:rsidRDefault="009C41FE">
      <w:pPr>
        <w:pStyle w:val="FootnoteText"/>
        <w:rPr>
          <w:lang w:val="en-GB"/>
        </w:rPr>
      </w:pPr>
      <w:r w:rsidRPr="00784329">
        <w:rPr>
          <w:rStyle w:val="FootnoteReference"/>
        </w:rPr>
        <w:footnoteRef/>
      </w:r>
      <w:r w:rsidRPr="00784329">
        <w:t xml:space="preserve"> </w:t>
      </w:r>
      <w:r w:rsidRPr="00784329">
        <w:rPr>
          <w:lang w:val="en-GB"/>
        </w:rPr>
        <w:t>Project assistant, Department of Law, Tallinn University of Technology, Ehitajate tee 5, 19086 Tallinn, Estonia, Email: materl@taltech.ee</w:t>
      </w:r>
    </w:p>
  </w:footnote>
  <w:footnote w:id="2">
    <w:p w14:paraId="752B199A" w14:textId="13804AD2" w:rsidR="00FF2A1E" w:rsidRPr="00BC434D" w:rsidRDefault="00FF2A1E">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w:t>
      </w:r>
      <w:bookmarkStart w:id="1" w:name="_Hlk139232543"/>
      <w:r w:rsidR="00BC434D" w:rsidRPr="00BC434D">
        <w:rPr>
          <w:rFonts w:asciiTheme="majorBidi" w:hAnsiTheme="majorBidi" w:cstheme="majorBidi"/>
          <w:lang w:val="en-US"/>
        </w:rPr>
        <w:t>Lilian Edwards, Edina Harbina</w:t>
      </w:r>
      <w:bookmarkEnd w:id="1"/>
      <w:r w:rsidR="00BC434D" w:rsidRPr="00BC434D">
        <w:rPr>
          <w:rFonts w:asciiTheme="majorBidi" w:hAnsiTheme="majorBidi" w:cstheme="majorBidi"/>
          <w:lang w:val="en-US"/>
        </w:rPr>
        <w:t xml:space="preserve">. "Protecting post-mortem privacy: Reconsidering the privacy interests of the deceased in a digital world." in </w:t>
      </w:r>
      <w:r w:rsidR="00BC434D" w:rsidRPr="00BC434D">
        <w:rPr>
          <w:rFonts w:asciiTheme="majorBidi" w:hAnsiTheme="majorBidi" w:cstheme="majorBidi"/>
          <w:i/>
          <w:iCs/>
          <w:lang w:val="en-US"/>
        </w:rPr>
        <w:t>Cardozo Arts &amp; Entertainment Law Journal</w:t>
      </w:r>
      <w:r w:rsidR="00BC434D" w:rsidRPr="00BC434D">
        <w:rPr>
          <w:rFonts w:asciiTheme="majorBidi" w:hAnsiTheme="majorBidi" w:cstheme="majorBidi"/>
          <w:lang w:val="en-US"/>
        </w:rPr>
        <w:t>, vol. 32, 2013</w:t>
      </w:r>
      <w:r w:rsidRPr="00BC434D">
        <w:rPr>
          <w:rFonts w:asciiTheme="majorBidi" w:hAnsiTheme="majorBidi" w:cstheme="majorBidi"/>
          <w:lang w:val="en-US"/>
        </w:rPr>
        <w:t xml:space="preserve">, </w:t>
      </w:r>
      <w:r w:rsidR="007D36D6" w:rsidRPr="00BC434D">
        <w:rPr>
          <w:rFonts w:asciiTheme="majorBidi" w:hAnsiTheme="majorBidi" w:cstheme="majorBidi"/>
          <w:lang w:val="en-US"/>
        </w:rPr>
        <w:t xml:space="preserve">p. </w:t>
      </w:r>
      <w:r w:rsidRPr="00BC434D">
        <w:rPr>
          <w:rFonts w:asciiTheme="majorBidi" w:hAnsiTheme="majorBidi" w:cstheme="majorBidi"/>
          <w:lang w:val="en-US"/>
        </w:rPr>
        <w:t>8</w:t>
      </w:r>
      <w:r w:rsidR="00411E34" w:rsidRPr="00BC434D">
        <w:rPr>
          <w:rFonts w:asciiTheme="majorBidi" w:hAnsiTheme="majorBidi" w:cstheme="majorBidi"/>
          <w:lang w:val="en-US"/>
        </w:rPr>
        <w:t>5</w:t>
      </w:r>
      <w:r w:rsidR="00B40EF0" w:rsidRPr="00BC434D">
        <w:rPr>
          <w:rFonts w:asciiTheme="majorBidi" w:hAnsiTheme="majorBidi" w:cstheme="majorBidi"/>
          <w:lang w:val="en-US"/>
        </w:rPr>
        <w:t>.</w:t>
      </w:r>
    </w:p>
  </w:footnote>
  <w:footnote w:id="3">
    <w:p w14:paraId="007B7E9A" w14:textId="74A41826" w:rsidR="00157649" w:rsidRPr="00BC434D" w:rsidRDefault="00157649" w:rsidP="008F02FD">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w:t>
      </w:r>
      <w:r w:rsidR="00BC434D" w:rsidRPr="00BC434D">
        <w:rPr>
          <w:rFonts w:asciiTheme="majorBidi" w:hAnsiTheme="majorBidi" w:cstheme="majorBidi"/>
          <w:lang w:val="en-US"/>
        </w:rPr>
        <w:t xml:space="preserve">Edina Harbinja, "Does the EU data protection regime protect post-mortem privacy and what could be the potential alternatives" in </w:t>
      </w:r>
      <w:r w:rsidR="00BC434D" w:rsidRPr="00BC434D">
        <w:rPr>
          <w:rFonts w:asciiTheme="majorBidi" w:hAnsiTheme="majorBidi" w:cstheme="majorBidi"/>
          <w:i/>
          <w:iCs/>
          <w:lang w:val="en-US"/>
        </w:rPr>
        <w:t>Scripted</w:t>
      </w:r>
      <w:r w:rsidR="00BC434D" w:rsidRPr="00BC434D">
        <w:rPr>
          <w:rFonts w:asciiTheme="majorBidi" w:hAnsiTheme="majorBidi" w:cstheme="majorBidi"/>
          <w:lang w:val="en-US"/>
        </w:rPr>
        <w:t>. Vol. 10, 2013,</w:t>
      </w:r>
      <w:r w:rsidR="008F02FD" w:rsidRPr="00BC434D">
        <w:rPr>
          <w:rFonts w:asciiTheme="majorBidi" w:hAnsiTheme="majorBidi" w:cstheme="majorBidi"/>
          <w:lang w:val="en-US"/>
        </w:rPr>
        <w:t xml:space="preserve"> </w:t>
      </w:r>
      <w:r w:rsidR="007D36D6" w:rsidRPr="00BC434D">
        <w:rPr>
          <w:rFonts w:asciiTheme="majorBidi" w:hAnsiTheme="majorBidi" w:cstheme="majorBidi"/>
          <w:lang w:val="en-US"/>
        </w:rPr>
        <w:t xml:space="preserve">p. </w:t>
      </w:r>
      <w:r w:rsidR="008F02FD" w:rsidRPr="00BC434D">
        <w:rPr>
          <w:rFonts w:asciiTheme="majorBidi" w:hAnsiTheme="majorBidi" w:cstheme="majorBidi"/>
          <w:lang w:val="en-US"/>
        </w:rPr>
        <w:t>19.</w:t>
      </w:r>
      <w:r w:rsidR="00B40EF0" w:rsidRPr="00BC434D">
        <w:rPr>
          <w:rFonts w:asciiTheme="majorBidi" w:hAnsiTheme="majorBidi" w:cstheme="majorBidi"/>
          <w:lang w:val="en-US"/>
        </w:rPr>
        <w:t xml:space="preserve"> </w:t>
      </w:r>
    </w:p>
  </w:footnote>
  <w:footnote w:id="4">
    <w:p w14:paraId="670694F5" w14:textId="5D69CBA6" w:rsidR="00DC0880" w:rsidRPr="00BC434D" w:rsidRDefault="00DC0880">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w:t>
      </w:r>
      <w:r w:rsidR="00BC434D" w:rsidRPr="00BC434D">
        <w:rPr>
          <w:rFonts w:asciiTheme="majorBidi" w:hAnsiTheme="majorBidi" w:cstheme="majorBidi"/>
          <w:lang w:val="en-US"/>
        </w:rPr>
        <w:t>Asta Tūbaitė-Stalauskienė, "Data Protection Post-Mortem” in</w:t>
      </w:r>
      <w:r w:rsidR="00380DBF" w:rsidRPr="00BC434D">
        <w:rPr>
          <w:rFonts w:asciiTheme="majorBidi" w:hAnsiTheme="majorBidi" w:cstheme="majorBidi"/>
          <w:lang w:val="en-US"/>
        </w:rPr>
        <w:t xml:space="preserve"> </w:t>
      </w:r>
      <w:r w:rsidR="00380DBF" w:rsidRPr="00BC434D">
        <w:rPr>
          <w:rFonts w:asciiTheme="majorBidi" w:hAnsiTheme="majorBidi" w:cstheme="majorBidi"/>
          <w:i/>
          <w:iCs/>
          <w:lang w:val="en-US"/>
        </w:rPr>
        <w:t>I</w:t>
      </w:r>
      <w:r w:rsidR="000A4096" w:rsidRPr="00BC434D">
        <w:rPr>
          <w:rFonts w:asciiTheme="majorBidi" w:hAnsiTheme="majorBidi" w:cstheme="majorBidi"/>
          <w:i/>
          <w:iCs/>
          <w:lang w:val="en-US"/>
        </w:rPr>
        <w:t xml:space="preserve">nternational </w:t>
      </w:r>
      <w:r w:rsidR="00380DBF" w:rsidRPr="00BC434D">
        <w:rPr>
          <w:rFonts w:asciiTheme="majorBidi" w:hAnsiTheme="majorBidi" w:cstheme="majorBidi"/>
          <w:i/>
          <w:iCs/>
          <w:lang w:val="en-US"/>
        </w:rPr>
        <w:t>C</w:t>
      </w:r>
      <w:r w:rsidR="000A4096" w:rsidRPr="00BC434D">
        <w:rPr>
          <w:rFonts w:asciiTheme="majorBidi" w:hAnsiTheme="majorBidi" w:cstheme="majorBidi"/>
          <w:i/>
          <w:iCs/>
          <w:lang w:val="en-US"/>
        </w:rPr>
        <w:t xml:space="preserve">omparative </w:t>
      </w:r>
      <w:r w:rsidR="00380DBF" w:rsidRPr="00BC434D">
        <w:rPr>
          <w:rFonts w:asciiTheme="majorBidi" w:hAnsiTheme="majorBidi" w:cstheme="majorBidi"/>
          <w:i/>
          <w:iCs/>
          <w:lang w:val="en-US"/>
        </w:rPr>
        <w:t>J</w:t>
      </w:r>
      <w:r w:rsidR="000A4096" w:rsidRPr="00BC434D">
        <w:rPr>
          <w:rFonts w:asciiTheme="majorBidi" w:hAnsiTheme="majorBidi" w:cstheme="majorBidi"/>
          <w:i/>
          <w:iCs/>
          <w:lang w:val="en-US"/>
        </w:rPr>
        <w:t>urisprudence</w:t>
      </w:r>
      <w:r w:rsidR="00380DBF" w:rsidRPr="00BC434D">
        <w:rPr>
          <w:rFonts w:asciiTheme="majorBidi" w:hAnsiTheme="majorBidi" w:cstheme="majorBidi"/>
          <w:lang w:val="en-US"/>
        </w:rPr>
        <w:t xml:space="preserve">, </w:t>
      </w:r>
      <w:r w:rsidR="007D36D6" w:rsidRPr="00BC434D">
        <w:rPr>
          <w:rFonts w:asciiTheme="majorBidi" w:hAnsiTheme="majorBidi" w:cstheme="majorBidi"/>
          <w:lang w:val="en-US"/>
        </w:rPr>
        <w:t xml:space="preserve">Vol. </w:t>
      </w:r>
      <w:r w:rsidR="00380DBF" w:rsidRPr="00BC434D">
        <w:rPr>
          <w:rFonts w:asciiTheme="majorBidi" w:hAnsiTheme="majorBidi" w:cstheme="majorBidi"/>
          <w:lang w:val="en-US"/>
        </w:rPr>
        <w:t xml:space="preserve">4, </w:t>
      </w:r>
      <w:r w:rsidR="00BC434D" w:rsidRPr="00BC434D">
        <w:rPr>
          <w:rFonts w:asciiTheme="majorBidi" w:hAnsiTheme="majorBidi" w:cstheme="majorBidi"/>
          <w:lang w:val="en-US"/>
        </w:rPr>
        <w:t xml:space="preserve">2018, </w:t>
      </w:r>
      <w:r w:rsidR="007D36D6" w:rsidRPr="00BC434D">
        <w:rPr>
          <w:rFonts w:asciiTheme="majorBidi" w:hAnsiTheme="majorBidi" w:cstheme="majorBidi"/>
          <w:lang w:val="en-US"/>
        </w:rPr>
        <w:t xml:space="preserve">p. </w:t>
      </w:r>
      <w:r w:rsidR="00380DBF" w:rsidRPr="00BC434D">
        <w:rPr>
          <w:rFonts w:asciiTheme="majorBidi" w:hAnsiTheme="majorBidi" w:cstheme="majorBidi"/>
          <w:lang w:val="en-US"/>
        </w:rPr>
        <w:t>9</w:t>
      </w:r>
      <w:r w:rsidR="000A4096" w:rsidRPr="00BC434D">
        <w:rPr>
          <w:rFonts w:asciiTheme="majorBidi" w:hAnsiTheme="majorBidi" w:cstheme="majorBidi"/>
          <w:lang w:val="en-US"/>
        </w:rPr>
        <w:t>8</w:t>
      </w:r>
      <w:r w:rsidR="00380DBF" w:rsidRPr="00BC434D">
        <w:rPr>
          <w:rFonts w:asciiTheme="majorBidi" w:hAnsiTheme="majorBidi" w:cstheme="majorBidi"/>
          <w:lang w:val="en-US"/>
        </w:rPr>
        <w:t>.</w:t>
      </w:r>
    </w:p>
  </w:footnote>
  <w:footnote w:id="5">
    <w:p w14:paraId="631BDBA2" w14:textId="1BB3ECFB" w:rsidR="00C41D25" w:rsidRPr="00BC434D" w:rsidRDefault="00C41D25">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w:t>
      </w:r>
      <w:r w:rsidR="00BC434D" w:rsidRPr="00BC434D">
        <w:rPr>
          <w:rFonts w:asciiTheme="majorBidi" w:hAnsiTheme="majorBidi" w:cstheme="majorBidi"/>
          <w:lang w:val="en-US"/>
        </w:rPr>
        <w:t>Bart Van der Sloot, "Decisional privacy 2.0: the procedural requirements implicit in Article 8 ECHR and its potential impact on profiling." in</w:t>
      </w:r>
      <w:r w:rsidR="00E9485D" w:rsidRPr="00BC434D">
        <w:rPr>
          <w:rFonts w:asciiTheme="majorBidi" w:hAnsiTheme="majorBidi" w:cstheme="majorBidi"/>
          <w:lang w:val="en-US"/>
        </w:rPr>
        <w:t xml:space="preserve"> </w:t>
      </w:r>
      <w:r w:rsidR="00E9485D" w:rsidRPr="00BC434D">
        <w:rPr>
          <w:rFonts w:asciiTheme="majorBidi" w:hAnsiTheme="majorBidi" w:cstheme="majorBidi"/>
          <w:i/>
          <w:iCs/>
          <w:lang w:val="en-US"/>
        </w:rPr>
        <w:t>International Data Privacy Law</w:t>
      </w:r>
      <w:r w:rsidR="00E9485D" w:rsidRPr="00BC434D">
        <w:rPr>
          <w:rFonts w:asciiTheme="majorBidi" w:hAnsiTheme="majorBidi" w:cstheme="majorBidi"/>
          <w:lang w:val="en-US"/>
        </w:rPr>
        <w:t xml:space="preserve">, </w:t>
      </w:r>
      <w:r w:rsidR="007D36D6" w:rsidRPr="00BC434D">
        <w:rPr>
          <w:rFonts w:asciiTheme="majorBidi" w:hAnsiTheme="majorBidi" w:cstheme="majorBidi"/>
          <w:lang w:val="en-US"/>
        </w:rPr>
        <w:t xml:space="preserve">Vol. </w:t>
      </w:r>
      <w:r w:rsidR="00E9485D" w:rsidRPr="00BC434D">
        <w:rPr>
          <w:rFonts w:asciiTheme="majorBidi" w:hAnsiTheme="majorBidi" w:cstheme="majorBidi"/>
          <w:lang w:val="en-US"/>
        </w:rPr>
        <w:t>7(3),</w:t>
      </w:r>
      <w:r w:rsidR="00BC434D" w:rsidRPr="00BC434D">
        <w:rPr>
          <w:rFonts w:asciiTheme="majorBidi" w:hAnsiTheme="majorBidi" w:cstheme="majorBidi"/>
          <w:lang w:val="en-US"/>
        </w:rPr>
        <w:t xml:space="preserve"> 2017,</w:t>
      </w:r>
      <w:r w:rsidR="00E9485D" w:rsidRPr="00BC434D">
        <w:rPr>
          <w:rFonts w:asciiTheme="majorBidi" w:hAnsiTheme="majorBidi" w:cstheme="majorBidi"/>
          <w:lang w:val="en-US"/>
        </w:rPr>
        <w:t xml:space="preserve"> </w:t>
      </w:r>
      <w:r w:rsidR="007D36D6" w:rsidRPr="00BC434D">
        <w:rPr>
          <w:rFonts w:asciiTheme="majorBidi" w:hAnsiTheme="majorBidi" w:cstheme="majorBidi"/>
          <w:lang w:val="en-US"/>
        </w:rPr>
        <w:t xml:space="preserve">pp. </w:t>
      </w:r>
      <w:r w:rsidR="00E9485D" w:rsidRPr="00BC434D">
        <w:rPr>
          <w:rFonts w:asciiTheme="majorBidi" w:hAnsiTheme="majorBidi" w:cstheme="majorBidi"/>
          <w:lang w:val="en-US"/>
        </w:rPr>
        <w:t>190-201.</w:t>
      </w:r>
    </w:p>
  </w:footnote>
  <w:footnote w:id="6">
    <w:p w14:paraId="233DD749" w14:textId="384FAACD" w:rsidR="00445E0A" w:rsidRPr="00BC434D" w:rsidRDefault="00445E0A">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w:t>
      </w:r>
      <w:r w:rsidR="00BC434D" w:rsidRPr="00BC434D">
        <w:rPr>
          <w:rFonts w:asciiTheme="majorBidi" w:hAnsiTheme="majorBidi" w:cstheme="majorBidi"/>
          <w:lang w:val="en-US"/>
        </w:rPr>
        <w:t xml:space="preserve">Gianclaudio </w:t>
      </w:r>
      <w:r w:rsidR="001704D3" w:rsidRPr="00BC434D">
        <w:rPr>
          <w:rFonts w:asciiTheme="majorBidi" w:hAnsiTheme="majorBidi" w:cstheme="majorBidi"/>
          <w:lang w:val="en-US"/>
        </w:rPr>
        <w:t>Malgieri,</w:t>
      </w:r>
      <w:r w:rsidR="00BC434D" w:rsidRPr="00BC434D">
        <w:rPr>
          <w:rFonts w:asciiTheme="majorBidi" w:hAnsiTheme="majorBidi" w:cstheme="majorBidi"/>
          <w:lang w:val="en-US"/>
        </w:rPr>
        <w:t xml:space="preserve"> “</w:t>
      </w:r>
      <w:r w:rsidR="001704D3" w:rsidRPr="00BC434D">
        <w:rPr>
          <w:rFonts w:asciiTheme="majorBidi" w:hAnsiTheme="majorBidi" w:cstheme="majorBidi"/>
          <w:lang w:val="en-US"/>
        </w:rPr>
        <w:t>RIP: Rest in privacy or rest in (quasi-) property? Personal data protection of deceased data subjects between theoretical scenarios and national solutions. Personal Data Protection of Deceased Data Subjects between Theoretical Scenarios and National Solutions.</w:t>
      </w:r>
      <w:r w:rsidR="007D36D6" w:rsidRPr="00BC434D">
        <w:rPr>
          <w:rFonts w:asciiTheme="majorBidi" w:hAnsiTheme="majorBidi" w:cstheme="majorBidi"/>
          <w:lang w:val="en-US"/>
        </w:rPr>
        <w:t>’</w:t>
      </w:r>
      <w:r w:rsidR="00BC434D" w:rsidRPr="00BC434D">
        <w:rPr>
          <w:rFonts w:asciiTheme="majorBidi" w:hAnsiTheme="majorBidi" w:cstheme="majorBidi"/>
          <w:lang w:val="en-US"/>
        </w:rPr>
        <w:t xml:space="preserve"> in</w:t>
      </w:r>
      <w:r w:rsidR="001704D3" w:rsidRPr="00BC434D">
        <w:rPr>
          <w:rFonts w:asciiTheme="majorBidi" w:hAnsiTheme="majorBidi" w:cstheme="majorBidi"/>
          <w:lang w:val="en-US"/>
        </w:rPr>
        <w:t xml:space="preserve"> </w:t>
      </w:r>
      <w:r w:rsidR="001704D3" w:rsidRPr="00BC434D">
        <w:rPr>
          <w:rFonts w:asciiTheme="majorBidi" w:hAnsiTheme="majorBidi" w:cstheme="majorBidi"/>
          <w:i/>
          <w:iCs/>
          <w:lang w:val="en-US"/>
        </w:rPr>
        <w:t>Data Protection and Privacy: The Internet of Bodies</w:t>
      </w:r>
      <w:r w:rsidR="001704D3" w:rsidRPr="00BC434D">
        <w:rPr>
          <w:rFonts w:asciiTheme="majorBidi" w:hAnsiTheme="majorBidi" w:cstheme="majorBidi"/>
          <w:lang w:val="en-US"/>
        </w:rPr>
        <w:t xml:space="preserve">, </w:t>
      </w:r>
      <w:r w:rsidR="00BC434D" w:rsidRPr="00BC434D">
        <w:rPr>
          <w:rFonts w:asciiTheme="majorBidi" w:hAnsiTheme="majorBidi" w:cstheme="majorBidi"/>
          <w:lang w:val="en-US"/>
        </w:rPr>
        <w:t>2018,</w:t>
      </w:r>
      <w:r w:rsidR="001704D3" w:rsidRPr="00BC434D">
        <w:rPr>
          <w:rFonts w:asciiTheme="majorBidi" w:hAnsiTheme="majorBidi" w:cstheme="majorBidi"/>
          <w:lang w:val="en-US"/>
        </w:rPr>
        <w:t xml:space="preserve"> p</w:t>
      </w:r>
      <w:r w:rsidR="00F71F8B" w:rsidRPr="00BC434D">
        <w:rPr>
          <w:rFonts w:asciiTheme="majorBidi" w:hAnsiTheme="majorBidi" w:cstheme="majorBidi"/>
          <w:lang w:val="en-US"/>
        </w:rPr>
        <w:t>. 10</w:t>
      </w:r>
      <w:r w:rsidR="00F96E73" w:rsidRPr="00BC434D">
        <w:rPr>
          <w:rFonts w:asciiTheme="majorBidi" w:hAnsiTheme="majorBidi" w:cstheme="majorBidi"/>
          <w:lang w:val="en-US"/>
        </w:rPr>
        <w:t xml:space="preserve">; European Commission on Human Rights, Application N° 8741/79, déc. 10.3.81, D.R. 24, </w:t>
      </w:r>
      <w:r w:rsidR="007D36D6" w:rsidRPr="00BC434D">
        <w:rPr>
          <w:rFonts w:asciiTheme="majorBidi" w:hAnsiTheme="majorBidi" w:cstheme="majorBidi"/>
          <w:lang w:val="en-US"/>
        </w:rPr>
        <w:t xml:space="preserve">pp. </w:t>
      </w:r>
      <w:r w:rsidR="00F96E73" w:rsidRPr="00BC434D">
        <w:rPr>
          <w:rFonts w:asciiTheme="majorBidi" w:hAnsiTheme="majorBidi" w:cstheme="majorBidi"/>
          <w:lang w:val="en-US"/>
        </w:rPr>
        <w:t>140-143</w:t>
      </w:r>
    </w:p>
  </w:footnote>
  <w:footnote w:id="7">
    <w:p w14:paraId="431AB7D9" w14:textId="5A739D82" w:rsidR="002C3C2D" w:rsidRPr="00BC434D" w:rsidRDefault="002C3C2D">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w:t>
      </w:r>
      <w:r w:rsidR="00BC434D" w:rsidRPr="00BC434D">
        <w:rPr>
          <w:rFonts w:asciiTheme="majorBidi" w:hAnsiTheme="majorBidi" w:cstheme="majorBidi"/>
          <w:lang w:val="en-US"/>
        </w:rPr>
        <w:t xml:space="preserve">Bo </w:t>
      </w:r>
      <w:r w:rsidRPr="00BC434D">
        <w:rPr>
          <w:rFonts w:asciiTheme="majorBidi" w:hAnsiTheme="majorBidi" w:cstheme="majorBidi"/>
          <w:lang w:val="en-US"/>
        </w:rPr>
        <w:t>Zhao,</w:t>
      </w:r>
      <w:r w:rsidR="00BC434D" w:rsidRPr="00BC434D">
        <w:rPr>
          <w:rFonts w:asciiTheme="majorBidi" w:hAnsiTheme="majorBidi" w:cstheme="majorBidi"/>
          <w:lang w:val="en-US"/>
        </w:rPr>
        <w:t xml:space="preserve"> “</w:t>
      </w:r>
      <w:r w:rsidRPr="00BC434D">
        <w:rPr>
          <w:rFonts w:asciiTheme="majorBidi" w:hAnsiTheme="majorBidi" w:cstheme="majorBidi"/>
          <w:lang w:val="en-US"/>
        </w:rPr>
        <w:t>Posthumous Defamation and Posthumous Privacy Cases in the Digital Age</w:t>
      </w:r>
      <w:r w:rsidR="00BC434D" w:rsidRPr="00BC434D">
        <w:rPr>
          <w:rFonts w:asciiTheme="majorBidi" w:hAnsiTheme="majorBidi" w:cstheme="majorBidi"/>
          <w:lang w:val="en-US"/>
        </w:rPr>
        <w:t>” in</w:t>
      </w:r>
      <w:r w:rsidRPr="00BC434D">
        <w:rPr>
          <w:rFonts w:asciiTheme="majorBidi" w:hAnsiTheme="majorBidi" w:cstheme="majorBidi"/>
          <w:lang w:val="en-US"/>
        </w:rPr>
        <w:t xml:space="preserve"> </w:t>
      </w:r>
      <w:r w:rsidRPr="00BC434D">
        <w:rPr>
          <w:rFonts w:asciiTheme="majorBidi" w:hAnsiTheme="majorBidi" w:cstheme="majorBidi"/>
          <w:i/>
          <w:iCs/>
          <w:lang w:val="en-US"/>
        </w:rPr>
        <w:t>Savannah L</w:t>
      </w:r>
      <w:r w:rsidR="00CD221C" w:rsidRPr="00BC434D">
        <w:rPr>
          <w:rFonts w:asciiTheme="majorBidi" w:hAnsiTheme="majorBidi" w:cstheme="majorBidi"/>
          <w:i/>
          <w:iCs/>
          <w:lang w:val="en-US"/>
        </w:rPr>
        <w:t>aw</w:t>
      </w:r>
      <w:r w:rsidRPr="00BC434D">
        <w:rPr>
          <w:rFonts w:asciiTheme="majorBidi" w:hAnsiTheme="majorBidi" w:cstheme="majorBidi"/>
          <w:i/>
          <w:iCs/>
          <w:lang w:val="en-US"/>
        </w:rPr>
        <w:t xml:space="preserve"> Rev</w:t>
      </w:r>
      <w:r w:rsidR="00CD221C" w:rsidRPr="00BC434D">
        <w:rPr>
          <w:rFonts w:asciiTheme="majorBidi" w:hAnsiTheme="majorBidi" w:cstheme="majorBidi"/>
          <w:i/>
          <w:iCs/>
          <w:lang w:val="en-US"/>
        </w:rPr>
        <w:t>iew</w:t>
      </w:r>
      <w:r w:rsidRPr="00BC434D">
        <w:rPr>
          <w:rFonts w:asciiTheme="majorBidi" w:hAnsiTheme="majorBidi" w:cstheme="majorBidi"/>
          <w:lang w:val="en-US"/>
        </w:rPr>
        <w:t xml:space="preserve">, </w:t>
      </w:r>
      <w:r w:rsidR="007D36D6" w:rsidRPr="00BC434D">
        <w:rPr>
          <w:rFonts w:asciiTheme="majorBidi" w:hAnsiTheme="majorBidi" w:cstheme="majorBidi"/>
          <w:lang w:val="en-US"/>
        </w:rPr>
        <w:t xml:space="preserve">Vol. </w:t>
      </w:r>
      <w:r w:rsidRPr="00BC434D">
        <w:rPr>
          <w:rFonts w:asciiTheme="majorBidi" w:hAnsiTheme="majorBidi" w:cstheme="majorBidi"/>
          <w:lang w:val="en-US"/>
        </w:rPr>
        <w:t>3,</w:t>
      </w:r>
      <w:r w:rsidR="00BC434D" w:rsidRPr="00BC434D">
        <w:rPr>
          <w:rFonts w:asciiTheme="majorBidi" w:hAnsiTheme="majorBidi" w:cstheme="majorBidi"/>
          <w:lang w:val="en-US"/>
        </w:rPr>
        <w:t xml:space="preserve"> 2016,</w:t>
      </w:r>
      <w:r w:rsidRPr="00BC434D">
        <w:rPr>
          <w:rFonts w:asciiTheme="majorBidi" w:hAnsiTheme="majorBidi" w:cstheme="majorBidi"/>
          <w:lang w:val="en-US"/>
        </w:rPr>
        <w:t xml:space="preserve"> </w:t>
      </w:r>
      <w:r w:rsidR="007D36D6" w:rsidRPr="00BC434D">
        <w:rPr>
          <w:rFonts w:asciiTheme="majorBidi" w:hAnsiTheme="majorBidi" w:cstheme="majorBidi"/>
          <w:lang w:val="en-US"/>
        </w:rPr>
        <w:t xml:space="preserve">p. </w:t>
      </w:r>
      <w:r w:rsidR="00350497" w:rsidRPr="00BC434D">
        <w:rPr>
          <w:rFonts w:asciiTheme="majorBidi" w:hAnsiTheme="majorBidi" w:cstheme="majorBidi"/>
          <w:lang w:val="en-US"/>
        </w:rPr>
        <w:t>4.</w:t>
      </w:r>
    </w:p>
  </w:footnote>
  <w:footnote w:id="8">
    <w:p w14:paraId="7CD94504" w14:textId="121DBF69" w:rsidR="007F6FF8" w:rsidRPr="00BC434D" w:rsidRDefault="007F6FF8" w:rsidP="00BA66E8">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w:t>
      </w:r>
      <w:r w:rsidR="00BC434D" w:rsidRPr="00BC434D">
        <w:rPr>
          <w:rFonts w:asciiTheme="majorBidi" w:hAnsiTheme="majorBidi" w:cstheme="majorBidi"/>
          <w:lang w:val="en-US"/>
        </w:rPr>
        <w:t xml:space="preserve">Bo </w:t>
      </w:r>
      <w:r w:rsidRPr="00BC434D">
        <w:rPr>
          <w:rFonts w:asciiTheme="majorBidi" w:hAnsiTheme="majorBidi" w:cstheme="majorBidi"/>
          <w:lang w:val="en-US"/>
        </w:rPr>
        <w:t>Zhao, 2016</w:t>
      </w:r>
      <w:r w:rsidR="00BC434D" w:rsidRPr="00BC434D">
        <w:rPr>
          <w:rFonts w:asciiTheme="majorBidi" w:hAnsiTheme="majorBidi" w:cstheme="majorBidi"/>
          <w:lang w:val="en-US"/>
        </w:rPr>
        <w:t>,</w:t>
      </w:r>
      <w:r w:rsidRPr="00BC434D">
        <w:rPr>
          <w:rFonts w:asciiTheme="majorBidi" w:hAnsiTheme="majorBidi" w:cstheme="majorBidi"/>
          <w:lang w:val="en-US"/>
        </w:rPr>
        <w:t xml:space="preserve"> </w:t>
      </w:r>
      <w:r w:rsidRPr="00BC434D">
        <w:rPr>
          <w:rFonts w:asciiTheme="majorBidi" w:hAnsiTheme="majorBidi" w:cstheme="majorBidi"/>
          <w:i/>
          <w:iCs/>
          <w:lang w:val="en-US"/>
        </w:rPr>
        <w:t>supra nota</w:t>
      </w:r>
      <w:r w:rsidR="00D77B9A" w:rsidRPr="00BC434D">
        <w:rPr>
          <w:rFonts w:asciiTheme="majorBidi" w:hAnsiTheme="majorBidi" w:cstheme="majorBidi"/>
          <w:lang w:val="en-US"/>
        </w:rPr>
        <w:t xml:space="preserve">, </w:t>
      </w:r>
      <w:r w:rsidR="007D36D6" w:rsidRPr="00BC434D">
        <w:rPr>
          <w:rFonts w:asciiTheme="majorBidi" w:hAnsiTheme="majorBidi" w:cstheme="majorBidi"/>
          <w:lang w:val="en-US"/>
        </w:rPr>
        <w:t xml:space="preserve">p. </w:t>
      </w:r>
      <w:r w:rsidR="00391445" w:rsidRPr="00BC434D">
        <w:rPr>
          <w:rFonts w:asciiTheme="majorBidi" w:hAnsiTheme="majorBidi" w:cstheme="majorBidi"/>
          <w:lang w:val="en-US"/>
        </w:rPr>
        <w:t xml:space="preserve">2; </w:t>
      </w:r>
      <w:r w:rsidR="00FF1C20" w:rsidRPr="00BC434D">
        <w:rPr>
          <w:rFonts w:asciiTheme="majorBidi" w:hAnsiTheme="majorBidi" w:cstheme="majorBidi"/>
          <w:lang w:val="en-US"/>
        </w:rPr>
        <w:t xml:space="preserve">Rb Amsterdam 12 </w:t>
      </w:r>
      <w:r w:rsidR="00EE4527">
        <w:rPr>
          <w:rFonts w:asciiTheme="majorBidi" w:hAnsiTheme="majorBidi" w:cstheme="majorBidi"/>
          <w:lang w:val="en-US"/>
        </w:rPr>
        <w:t>December</w:t>
      </w:r>
      <w:r w:rsidR="00FF1C20" w:rsidRPr="00BC434D">
        <w:rPr>
          <w:rFonts w:asciiTheme="majorBidi" w:hAnsiTheme="majorBidi" w:cstheme="majorBidi"/>
          <w:lang w:val="en-US"/>
        </w:rPr>
        <w:t xml:space="preserve"> 2003, KG 2003, 1363 m.nt. GJZ</w:t>
      </w:r>
      <w:r w:rsidR="0056254E">
        <w:rPr>
          <w:rFonts w:asciiTheme="majorBidi" w:hAnsiTheme="majorBidi" w:cstheme="majorBidi"/>
          <w:lang w:val="en-US"/>
        </w:rPr>
        <w:t xml:space="preserve"> </w:t>
      </w:r>
      <w:r w:rsidR="00BA66E8" w:rsidRPr="00BA66E8">
        <w:rPr>
          <w:rFonts w:asciiTheme="majorBidi" w:hAnsiTheme="majorBidi" w:cstheme="majorBidi"/>
          <w:lang w:val="en-US"/>
        </w:rPr>
        <w:t>(Uitspraakvoorzieningenrechter particulier/Stichting Digitaal Monument Joodse Gemeenschap)</w:t>
      </w:r>
    </w:p>
  </w:footnote>
  <w:footnote w:id="9">
    <w:p w14:paraId="627234C9" w14:textId="3A3F0D4E" w:rsidR="00716C22" w:rsidRPr="00BC434D" w:rsidRDefault="00716C22">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See </w:t>
      </w:r>
      <w:r w:rsidR="00BC434D" w:rsidRPr="00BC434D">
        <w:rPr>
          <w:rFonts w:asciiTheme="majorBidi" w:hAnsiTheme="majorBidi" w:cstheme="majorBidi"/>
          <w:lang w:val="en-US"/>
        </w:rPr>
        <w:t xml:space="preserve">Jan </w:t>
      </w:r>
      <w:r w:rsidRPr="00BC434D">
        <w:rPr>
          <w:rFonts w:asciiTheme="majorBidi" w:hAnsiTheme="majorBidi" w:cstheme="majorBidi"/>
          <w:lang w:val="en-US"/>
        </w:rPr>
        <w:t>Buitelaar,</w:t>
      </w:r>
      <w:r w:rsidR="00BC434D" w:rsidRPr="00BC434D">
        <w:rPr>
          <w:rFonts w:asciiTheme="majorBidi" w:hAnsiTheme="majorBidi" w:cstheme="majorBidi"/>
          <w:lang w:val="en-US"/>
        </w:rPr>
        <w:t xml:space="preserve"> “</w:t>
      </w:r>
      <w:r w:rsidRPr="00BC434D">
        <w:rPr>
          <w:rFonts w:asciiTheme="majorBidi" w:hAnsiTheme="majorBidi" w:cstheme="majorBidi"/>
          <w:lang w:val="en-US"/>
        </w:rPr>
        <w:t>Privacy: Back to the roots</w:t>
      </w:r>
      <w:r w:rsidR="00BC434D" w:rsidRPr="00BC434D">
        <w:rPr>
          <w:rFonts w:asciiTheme="majorBidi" w:hAnsiTheme="majorBidi" w:cstheme="majorBidi"/>
          <w:lang w:val="en-US"/>
        </w:rPr>
        <w:t>” in</w:t>
      </w:r>
      <w:r w:rsidRPr="00BC434D">
        <w:rPr>
          <w:rFonts w:asciiTheme="majorBidi" w:hAnsiTheme="majorBidi" w:cstheme="majorBidi"/>
          <w:lang w:val="en-US"/>
        </w:rPr>
        <w:t xml:space="preserve"> </w:t>
      </w:r>
      <w:r w:rsidRPr="00BC434D">
        <w:rPr>
          <w:rFonts w:asciiTheme="majorBidi" w:hAnsiTheme="majorBidi" w:cstheme="majorBidi"/>
          <w:i/>
          <w:iCs/>
          <w:lang w:val="en-US"/>
        </w:rPr>
        <w:t>German Law Journal</w:t>
      </w:r>
      <w:r w:rsidRPr="00BC434D">
        <w:rPr>
          <w:rFonts w:asciiTheme="majorBidi" w:hAnsiTheme="majorBidi" w:cstheme="majorBidi"/>
          <w:lang w:val="en-US"/>
        </w:rPr>
        <w:t xml:space="preserve">, </w:t>
      </w:r>
      <w:r w:rsidR="007D36D6" w:rsidRPr="00BC434D">
        <w:rPr>
          <w:rFonts w:asciiTheme="majorBidi" w:hAnsiTheme="majorBidi" w:cstheme="majorBidi"/>
          <w:lang w:val="en-US"/>
        </w:rPr>
        <w:t xml:space="preserve">vol. </w:t>
      </w:r>
      <w:r w:rsidRPr="00BC434D">
        <w:rPr>
          <w:rFonts w:asciiTheme="majorBidi" w:hAnsiTheme="majorBidi" w:cstheme="majorBidi"/>
          <w:lang w:val="en-US"/>
        </w:rPr>
        <w:t xml:space="preserve">13, </w:t>
      </w:r>
      <w:r w:rsidR="00BC434D" w:rsidRPr="00BC434D">
        <w:rPr>
          <w:rFonts w:asciiTheme="majorBidi" w:hAnsiTheme="majorBidi" w:cstheme="majorBidi"/>
          <w:lang w:val="en-US"/>
        </w:rPr>
        <w:t xml:space="preserve">2012, </w:t>
      </w:r>
      <w:r w:rsidR="007D36D6" w:rsidRPr="00BC434D">
        <w:rPr>
          <w:rFonts w:asciiTheme="majorBidi" w:hAnsiTheme="majorBidi" w:cstheme="majorBidi"/>
          <w:lang w:val="en-US"/>
        </w:rPr>
        <w:t xml:space="preserve">pp. </w:t>
      </w:r>
      <w:r w:rsidRPr="00BC434D">
        <w:rPr>
          <w:rFonts w:asciiTheme="majorBidi" w:hAnsiTheme="majorBidi" w:cstheme="majorBidi"/>
          <w:lang w:val="en-US"/>
        </w:rPr>
        <w:t>185-187</w:t>
      </w:r>
      <w:r w:rsidR="00AA6B2E" w:rsidRPr="00BC434D">
        <w:rPr>
          <w:rFonts w:asciiTheme="majorBidi" w:hAnsiTheme="majorBidi" w:cstheme="majorBidi"/>
          <w:lang w:val="en-US"/>
        </w:rPr>
        <w:t>.</w:t>
      </w:r>
    </w:p>
  </w:footnote>
  <w:footnote w:id="10">
    <w:p w14:paraId="232A3797" w14:textId="2769D280" w:rsidR="00191896" w:rsidRPr="00BC434D" w:rsidRDefault="00191896" w:rsidP="00CC02B2">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w:t>
      </w:r>
      <w:r w:rsidR="00BC434D" w:rsidRPr="00BC434D">
        <w:rPr>
          <w:rFonts w:asciiTheme="majorBidi" w:hAnsiTheme="majorBidi" w:cstheme="majorBidi"/>
          <w:lang w:val="en-US"/>
        </w:rPr>
        <w:t>See: Daniel</w:t>
      </w:r>
      <w:r w:rsidRPr="00BC434D">
        <w:rPr>
          <w:rFonts w:asciiTheme="majorBidi" w:hAnsiTheme="majorBidi" w:cstheme="majorBidi"/>
          <w:lang w:val="en-US"/>
        </w:rPr>
        <w:t xml:space="preserve"> Sperling, </w:t>
      </w:r>
      <w:r w:rsidR="00BC434D" w:rsidRPr="00BC434D">
        <w:rPr>
          <w:rFonts w:asciiTheme="majorBidi" w:hAnsiTheme="majorBidi" w:cstheme="majorBidi"/>
          <w:lang w:val="en-US"/>
        </w:rPr>
        <w:t>“</w:t>
      </w:r>
      <w:r w:rsidRPr="00BC434D">
        <w:rPr>
          <w:rFonts w:asciiTheme="majorBidi" w:hAnsiTheme="majorBidi" w:cstheme="majorBidi"/>
          <w:lang w:val="en-US"/>
        </w:rPr>
        <w:t>Posthumous interests: legal and ethical perspectives</w:t>
      </w:r>
      <w:r w:rsidR="00BC434D" w:rsidRPr="00BC434D">
        <w:rPr>
          <w:rFonts w:asciiTheme="majorBidi" w:hAnsiTheme="majorBidi" w:cstheme="majorBidi"/>
          <w:lang w:val="en-US"/>
        </w:rPr>
        <w:t>” in</w:t>
      </w:r>
      <w:r w:rsidRPr="00BC434D">
        <w:rPr>
          <w:rFonts w:asciiTheme="majorBidi" w:hAnsiTheme="majorBidi" w:cstheme="majorBidi"/>
          <w:lang w:val="en-US"/>
        </w:rPr>
        <w:t xml:space="preserve"> </w:t>
      </w:r>
      <w:r w:rsidRPr="00BC434D">
        <w:rPr>
          <w:rFonts w:asciiTheme="majorBidi" w:hAnsiTheme="majorBidi" w:cstheme="majorBidi"/>
          <w:i/>
          <w:iCs/>
          <w:lang w:val="en-US"/>
        </w:rPr>
        <w:t>Cambridge: Cambridge University Press</w:t>
      </w:r>
      <w:r w:rsidR="00BC434D" w:rsidRPr="00BC434D">
        <w:rPr>
          <w:rFonts w:asciiTheme="majorBidi" w:hAnsiTheme="majorBidi" w:cstheme="majorBidi"/>
          <w:lang w:val="en-US"/>
        </w:rPr>
        <w:t>, 2008, p.8</w:t>
      </w:r>
      <w:r w:rsidR="0073558D" w:rsidRPr="00BC434D">
        <w:rPr>
          <w:rFonts w:asciiTheme="majorBidi" w:hAnsiTheme="majorBidi" w:cstheme="majorBidi"/>
          <w:lang w:val="en-US"/>
        </w:rPr>
        <w:t>;</w:t>
      </w:r>
      <w:r w:rsidR="0073558D" w:rsidRPr="00BC434D">
        <w:rPr>
          <w:rFonts w:asciiTheme="majorBidi" w:hAnsiTheme="majorBidi" w:cstheme="majorBidi"/>
          <w:i/>
          <w:iCs/>
          <w:lang w:val="en-US"/>
        </w:rPr>
        <w:t xml:space="preserve"> </w:t>
      </w:r>
      <w:r w:rsidR="00BC434D" w:rsidRPr="00BC434D">
        <w:rPr>
          <w:rFonts w:asciiTheme="majorBidi" w:hAnsiTheme="majorBidi" w:cstheme="majorBidi"/>
          <w:lang w:val="en-US"/>
        </w:rPr>
        <w:t>Kirsten Rabe</w:t>
      </w:r>
      <w:r w:rsidRPr="00BC434D">
        <w:rPr>
          <w:rFonts w:asciiTheme="majorBidi" w:hAnsiTheme="majorBidi" w:cstheme="majorBidi"/>
          <w:i/>
          <w:iCs/>
          <w:lang w:val="en-US"/>
        </w:rPr>
        <w:t xml:space="preserve"> </w:t>
      </w:r>
      <w:r w:rsidR="005E5679" w:rsidRPr="00BC434D">
        <w:rPr>
          <w:rFonts w:asciiTheme="majorBidi" w:hAnsiTheme="majorBidi" w:cstheme="majorBidi"/>
          <w:lang w:val="en-US"/>
        </w:rPr>
        <w:t xml:space="preserve">Smolensky, </w:t>
      </w:r>
      <w:r w:rsidR="00BC434D" w:rsidRPr="00BC434D">
        <w:rPr>
          <w:rFonts w:asciiTheme="majorBidi" w:hAnsiTheme="majorBidi" w:cstheme="majorBidi"/>
          <w:lang w:val="en-US"/>
        </w:rPr>
        <w:t>“</w:t>
      </w:r>
      <w:r w:rsidR="005E5679" w:rsidRPr="00BC434D">
        <w:rPr>
          <w:rFonts w:asciiTheme="majorBidi" w:hAnsiTheme="majorBidi" w:cstheme="majorBidi"/>
          <w:lang w:val="en-US"/>
        </w:rPr>
        <w:t>Rights of the Dead</w:t>
      </w:r>
      <w:r w:rsidR="00BC434D" w:rsidRPr="00BC434D">
        <w:rPr>
          <w:rFonts w:asciiTheme="majorBidi" w:hAnsiTheme="majorBidi" w:cstheme="majorBidi"/>
          <w:lang w:val="en-US"/>
        </w:rPr>
        <w:t>” in</w:t>
      </w:r>
      <w:r w:rsidR="005E5679" w:rsidRPr="00BC434D">
        <w:rPr>
          <w:rFonts w:asciiTheme="majorBidi" w:hAnsiTheme="majorBidi" w:cstheme="majorBidi"/>
          <w:lang w:val="en-US"/>
        </w:rPr>
        <w:t xml:space="preserve"> </w:t>
      </w:r>
      <w:r w:rsidR="005E5679" w:rsidRPr="00BC434D">
        <w:rPr>
          <w:rFonts w:asciiTheme="majorBidi" w:hAnsiTheme="majorBidi" w:cstheme="majorBidi"/>
          <w:i/>
          <w:iCs/>
          <w:lang w:val="en-US"/>
        </w:rPr>
        <w:t>Hofstra L</w:t>
      </w:r>
      <w:r w:rsidR="00CC02B2" w:rsidRPr="00BC434D">
        <w:rPr>
          <w:rFonts w:asciiTheme="majorBidi" w:hAnsiTheme="majorBidi" w:cstheme="majorBidi"/>
          <w:i/>
          <w:iCs/>
          <w:lang w:val="en-US"/>
        </w:rPr>
        <w:t>aw</w:t>
      </w:r>
      <w:r w:rsidR="005E5679" w:rsidRPr="00BC434D">
        <w:rPr>
          <w:rFonts w:asciiTheme="majorBidi" w:hAnsiTheme="majorBidi" w:cstheme="majorBidi"/>
          <w:i/>
          <w:iCs/>
          <w:lang w:val="en-US"/>
        </w:rPr>
        <w:t xml:space="preserve"> </w:t>
      </w:r>
      <w:r w:rsidR="00BC434D" w:rsidRPr="00BC434D">
        <w:rPr>
          <w:rFonts w:asciiTheme="majorBidi" w:hAnsiTheme="majorBidi" w:cstheme="majorBidi"/>
          <w:lang w:val="en-US"/>
        </w:rPr>
        <w:t>Review</w:t>
      </w:r>
      <w:r w:rsidR="005E5679" w:rsidRPr="00BC434D">
        <w:rPr>
          <w:rFonts w:asciiTheme="majorBidi" w:hAnsiTheme="majorBidi" w:cstheme="majorBidi"/>
          <w:lang w:val="en-US"/>
        </w:rPr>
        <w:t xml:space="preserve">, </w:t>
      </w:r>
      <w:r w:rsidR="00CC02B2" w:rsidRPr="00BC434D">
        <w:rPr>
          <w:rFonts w:asciiTheme="majorBidi" w:hAnsiTheme="majorBidi" w:cstheme="majorBidi"/>
          <w:lang w:val="en-US"/>
        </w:rPr>
        <w:t xml:space="preserve">vol. </w:t>
      </w:r>
      <w:r w:rsidR="005E5679" w:rsidRPr="00BC434D">
        <w:rPr>
          <w:rFonts w:asciiTheme="majorBidi" w:hAnsiTheme="majorBidi" w:cstheme="majorBidi"/>
          <w:lang w:val="en-US"/>
        </w:rPr>
        <w:t xml:space="preserve">37, </w:t>
      </w:r>
      <w:r w:rsidR="00BC434D" w:rsidRPr="00BC434D">
        <w:rPr>
          <w:rFonts w:asciiTheme="majorBidi" w:hAnsiTheme="majorBidi" w:cstheme="majorBidi"/>
          <w:lang w:val="en-US"/>
        </w:rPr>
        <w:t xml:space="preserve">2008, </w:t>
      </w:r>
      <w:r w:rsidR="00CC02B2" w:rsidRPr="00BC434D">
        <w:rPr>
          <w:rFonts w:asciiTheme="majorBidi" w:hAnsiTheme="majorBidi" w:cstheme="majorBidi"/>
          <w:lang w:val="en-US"/>
        </w:rPr>
        <w:t xml:space="preserve">pp. </w:t>
      </w:r>
      <w:r w:rsidR="005E5679" w:rsidRPr="00BC434D">
        <w:rPr>
          <w:rFonts w:asciiTheme="majorBidi" w:hAnsiTheme="majorBidi" w:cstheme="majorBidi"/>
          <w:lang w:val="en-US"/>
        </w:rPr>
        <w:t>763</w:t>
      </w:r>
      <w:r w:rsidR="0073558D" w:rsidRPr="00BC434D">
        <w:rPr>
          <w:rFonts w:asciiTheme="majorBidi" w:hAnsiTheme="majorBidi" w:cstheme="majorBidi"/>
          <w:lang w:val="en-US"/>
        </w:rPr>
        <w:t>-803;</w:t>
      </w:r>
      <w:r w:rsidR="007233C9" w:rsidRPr="00BC434D">
        <w:rPr>
          <w:rFonts w:asciiTheme="majorBidi" w:hAnsiTheme="majorBidi" w:cstheme="majorBidi"/>
          <w:lang w:val="en-US"/>
        </w:rPr>
        <w:t xml:space="preserve"> </w:t>
      </w:r>
      <w:r w:rsidR="00BC434D" w:rsidRPr="00BC434D">
        <w:rPr>
          <w:rFonts w:asciiTheme="majorBidi" w:hAnsiTheme="majorBidi" w:cstheme="majorBidi"/>
          <w:lang w:val="en-US"/>
        </w:rPr>
        <w:t>Lilian Edwards, Edina Harbina, “</w:t>
      </w:r>
      <w:r w:rsidR="007233C9" w:rsidRPr="00BC434D">
        <w:rPr>
          <w:rFonts w:asciiTheme="majorBidi" w:hAnsiTheme="majorBidi" w:cstheme="majorBidi"/>
          <w:lang w:val="en-US"/>
        </w:rPr>
        <w:t>Protecting post-mortem privacy: Reconsidering the privacy interests of the deceased in a digital world</w:t>
      </w:r>
      <w:r w:rsidR="00BC434D" w:rsidRPr="00BC434D">
        <w:rPr>
          <w:rFonts w:asciiTheme="majorBidi" w:hAnsiTheme="majorBidi" w:cstheme="majorBidi"/>
          <w:lang w:val="en-US"/>
        </w:rPr>
        <w:t>” in</w:t>
      </w:r>
      <w:r w:rsidR="007233C9" w:rsidRPr="00BC434D">
        <w:rPr>
          <w:rFonts w:asciiTheme="majorBidi" w:hAnsiTheme="majorBidi" w:cstheme="majorBidi"/>
          <w:lang w:val="en-US"/>
        </w:rPr>
        <w:t xml:space="preserve"> </w:t>
      </w:r>
      <w:r w:rsidR="00BC434D" w:rsidRPr="00BC434D">
        <w:rPr>
          <w:rFonts w:asciiTheme="majorBidi" w:hAnsiTheme="majorBidi" w:cstheme="majorBidi"/>
          <w:i/>
          <w:iCs/>
          <w:lang w:val="en-US"/>
        </w:rPr>
        <w:t>Cardozo Arts &amp; Entertainment Law Journal,</w:t>
      </w:r>
      <w:r w:rsidR="007233C9" w:rsidRPr="00BC434D">
        <w:rPr>
          <w:rFonts w:asciiTheme="majorBidi" w:hAnsiTheme="majorBidi" w:cstheme="majorBidi"/>
          <w:lang w:val="en-US"/>
        </w:rPr>
        <w:t xml:space="preserve"> </w:t>
      </w:r>
      <w:r w:rsidR="00CC02B2" w:rsidRPr="00BC434D">
        <w:rPr>
          <w:rFonts w:asciiTheme="majorBidi" w:hAnsiTheme="majorBidi" w:cstheme="majorBidi"/>
          <w:lang w:val="en-US"/>
        </w:rPr>
        <w:t xml:space="preserve">vol. </w:t>
      </w:r>
      <w:r w:rsidR="007233C9" w:rsidRPr="00BC434D">
        <w:rPr>
          <w:rFonts w:asciiTheme="majorBidi" w:hAnsiTheme="majorBidi" w:cstheme="majorBidi"/>
          <w:lang w:val="en-US"/>
        </w:rPr>
        <w:t>32</w:t>
      </w:r>
      <w:r w:rsidR="00BC434D" w:rsidRPr="00BC434D">
        <w:rPr>
          <w:rFonts w:asciiTheme="majorBidi" w:hAnsiTheme="majorBidi" w:cstheme="majorBidi"/>
          <w:lang w:val="en-US"/>
        </w:rPr>
        <w:t>, 2013,</w:t>
      </w:r>
      <w:r w:rsidR="007233C9" w:rsidRPr="00BC434D">
        <w:rPr>
          <w:rFonts w:asciiTheme="majorBidi" w:hAnsiTheme="majorBidi" w:cstheme="majorBidi"/>
          <w:lang w:val="en-US"/>
        </w:rPr>
        <w:t xml:space="preserve"> </w:t>
      </w:r>
      <w:r w:rsidR="00CC02B2" w:rsidRPr="00BC434D">
        <w:rPr>
          <w:rFonts w:asciiTheme="majorBidi" w:hAnsiTheme="majorBidi" w:cstheme="majorBidi"/>
          <w:lang w:val="en-US"/>
        </w:rPr>
        <w:t xml:space="preserve">p. </w:t>
      </w:r>
      <w:r w:rsidR="00A5640C" w:rsidRPr="00BC434D">
        <w:rPr>
          <w:rFonts w:asciiTheme="majorBidi" w:hAnsiTheme="majorBidi" w:cstheme="majorBidi"/>
          <w:lang w:val="en-US"/>
        </w:rPr>
        <w:t xml:space="preserve">11; </w:t>
      </w:r>
      <w:r w:rsidR="00BC434D" w:rsidRPr="00BC434D">
        <w:rPr>
          <w:rFonts w:asciiTheme="majorBidi" w:hAnsiTheme="majorBidi" w:cstheme="majorBidi"/>
          <w:lang w:val="en-US"/>
        </w:rPr>
        <w:t xml:space="preserve">Jan </w:t>
      </w:r>
      <w:r w:rsidR="00A5640C" w:rsidRPr="00BC434D">
        <w:rPr>
          <w:rFonts w:asciiTheme="majorBidi" w:hAnsiTheme="majorBidi" w:cstheme="majorBidi"/>
          <w:lang w:val="en-US"/>
        </w:rPr>
        <w:t>Buitelaar</w:t>
      </w:r>
      <w:r w:rsidR="00BC434D" w:rsidRPr="00BC434D">
        <w:rPr>
          <w:rFonts w:asciiTheme="majorBidi" w:hAnsiTheme="majorBidi" w:cstheme="majorBidi"/>
          <w:lang w:val="en-US"/>
        </w:rPr>
        <w:t>,</w:t>
      </w:r>
      <w:r w:rsidR="00A5640C" w:rsidRPr="00BC434D">
        <w:rPr>
          <w:rFonts w:asciiTheme="majorBidi" w:hAnsiTheme="majorBidi" w:cstheme="majorBidi"/>
          <w:lang w:val="en-US"/>
        </w:rPr>
        <w:t xml:space="preserve"> </w:t>
      </w:r>
      <w:r w:rsidR="00BC434D" w:rsidRPr="00BC434D">
        <w:rPr>
          <w:rFonts w:asciiTheme="majorBidi" w:hAnsiTheme="majorBidi" w:cstheme="majorBidi"/>
          <w:lang w:val="en-US"/>
        </w:rPr>
        <w:t>“</w:t>
      </w:r>
      <w:r w:rsidR="00A5640C" w:rsidRPr="00BC434D">
        <w:rPr>
          <w:rFonts w:asciiTheme="majorBidi" w:hAnsiTheme="majorBidi" w:cstheme="majorBidi"/>
          <w:lang w:val="en-US"/>
        </w:rPr>
        <w:t>Post-mortem privacy and informational self-determination</w:t>
      </w:r>
      <w:r w:rsidR="00BC434D" w:rsidRPr="00BC434D">
        <w:rPr>
          <w:rFonts w:asciiTheme="majorBidi" w:hAnsiTheme="majorBidi" w:cstheme="majorBidi"/>
          <w:lang w:val="en-US"/>
        </w:rPr>
        <w:t>” in</w:t>
      </w:r>
      <w:r w:rsidR="00A5640C" w:rsidRPr="00BC434D">
        <w:rPr>
          <w:rFonts w:asciiTheme="majorBidi" w:hAnsiTheme="majorBidi" w:cstheme="majorBidi"/>
          <w:lang w:val="en-US"/>
        </w:rPr>
        <w:t xml:space="preserve"> </w:t>
      </w:r>
      <w:r w:rsidR="00A5640C" w:rsidRPr="00BC434D">
        <w:rPr>
          <w:rFonts w:asciiTheme="majorBidi" w:hAnsiTheme="majorBidi" w:cstheme="majorBidi"/>
          <w:i/>
          <w:iCs/>
          <w:lang w:val="en-US"/>
        </w:rPr>
        <w:t xml:space="preserve">Ethics and Information Technology, </w:t>
      </w:r>
      <w:r w:rsidR="00CC02B2" w:rsidRPr="00BC434D">
        <w:rPr>
          <w:rFonts w:asciiTheme="majorBidi" w:hAnsiTheme="majorBidi" w:cstheme="majorBidi"/>
          <w:i/>
          <w:iCs/>
          <w:lang w:val="en-US"/>
        </w:rPr>
        <w:t xml:space="preserve">vol. </w:t>
      </w:r>
      <w:r w:rsidR="00A5640C" w:rsidRPr="00BC434D">
        <w:rPr>
          <w:rFonts w:asciiTheme="majorBidi" w:hAnsiTheme="majorBidi" w:cstheme="majorBidi"/>
          <w:i/>
          <w:iCs/>
          <w:lang w:val="en-US"/>
        </w:rPr>
        <w:t>19(2),</w:t>
      </w:r>
      <w:r w:rsidR="00A5640C" w:rsidRPr="00BC434D">
        <w:rPr>
          <w:rFonts w:asciiTheme="majorBidi" w:hAnsiTheme="majorBidi" w:cstheme="majorBidi"/>
          <w:lang w:val="en-US"/>
        </w:rPr>
        <w:t xml:space="preserve"> </w:t>
      </w:r>
      <w:r w:rsidR="00BC434D" w:rsidRPr="00BC434D">
        <w:rPr>
          <w:rFonts w:asciiTheme="majorBidi" w:hAnsiTheme="majorBidi" w:cstheme="majorBidi"/>
          <w:lang w:val="en-US"/>
        </w:rPr>
        <w:t xml:space="preserve">2017, </w:t>
      </w:r>
      <w:r w:rsidR="00CC02B2" w:rsidRPr="00BC434D">
        <w:rPr>
          <w:rFonts w:asciiTheme="majorBidi" w:hAnsiTheme="majorBidi" w:cstheme="majorBidi"/>
          <w:lang w:val="en-US"/>
        </w:rPr>
        <w:t xml:space="preserve">pp. </w:t>
      </w:r>
      <w:r w:rsidR="00A5640C" w:rsidRPr="00BC434D">
        <w:rPr>
          <w:rFonts w:asciiTheme="majorBidi" w:hAnsiTheme="majorBidi" w:cstheme="majorBidi"/>
          <w:lang w:val="en-US"/>
        </w:rPr>
        <w:t>129-142.</w:t>
      </w:r>
    </w:p>
  </w:footnote>
  <w:footnote w:id="11">
    <w:p w14:paraId="7CD74EFA" w14:textId="6019B55C" w:rsidR="007F657B" w:rsidRPr="00BC434D" w:rsidRDefault="007F657B">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w:t>
      </w:r>
      <w:r w:rsidR="00BC434D" w:rsidRPr="00BC434D">
        <w:rPr>
          <w:rFonts w:asciiTheme="majorBidi" w:hAnsiTheme="majorBidi" w:cstheme="majorBidi"/>
          <w:lang w:val="en-US"/>
        </w:rPr>
        <w:t xml:space="preserve">Daniel </w:t>
      </w:r>
      <w:r w:rsidR="00FB2D05" w:rsidRPr="00BC434D">
        <w:rPr>
          <w:rFonts w:asciiTheme="majorBidi" w:hAnsiTheme="majorBidi" w:cstheme="majorBidi"/>
          <w:lang w:val="en-US"/>
        </w:rPr>
        <w:t>Sperling, 2008</w:t>
      </w:r>
      <w:r w:rsidR="00BC434D" w:rsidRPr="00BC434D">
        <w:rPr>
          <w:rFonts w:asciiTheme="majorBidi" w:hAnsiTheme="majorBidi" w:cstheme="majorBidi"/>
          <w:lang w:val="en-US"/>
        </w:rPr>
        <w:t>,</w:t>
      </w:r>
      <w:r w:rsidR="00FB2D05" w:rsidRPr="00BC434D">
        <w:rPr>
          <w:rFonts w:asciiTheme="majorBidi" w:hAnsiTheme="majorBidi" w:cstheme="majorBidi"/>
          <w:lang w:val="en-US"/>
        </w:rPr>
        <w:t xml:space="preserve"> </w:t>
      </w:r>
      <w:r w:rsidR="00742E20" w:rsidRPr="00BC434D">
        <w:rPr>
          <w:rFonts w:asciiTheme="majorBidi" w:hAnsiTheme="majorBidi" w:cstheme="majorBidi"/>
          <w:i/>
          <w:iCs/>
          <w:lang w:val="en-US"/>
        </w:rPr>
        <w:t xml:space="preserve">Supra </w:t>
      </w:r>
      <w:r w:rsidR="00B45343" w:rsidRPr="00BC434D">
        <w:rPr>
          <w:rFonts w:asciiTheme="majorBidi" w:hAnsiTheme="majorBidi" w:cstheme="majorBidi"/>
          <w:i/>
          <w:iCs/>
          <w:lang w:val="en-US"/>
        </w:rPr>
        <w:t>n</w:t>
      </w:r>
      <w:r w:rsidR="00742E20" w:rsidRPr="00BC434D">
        <w:rPr>
          <w:rFonts w:asciiTheme="majorBidi" w:hAnsiTheme="majorBidi" w:cstheme="majorBidi"/>
          <w:i/>
          <w:iCs/>
          <w:lang w:val="en-US"/>
        </w:rPr>
        <w:t>ota</w:t>
      </w:r>
      <w:r w:rsidR="000A7C82" w:rsidRPr="00BC434D">
        <w:rPr>
          <w:rFonts w:asciiTheme="majorBidi" w:hAnsiTheme="majorBidi" w:cstheme="majorBidi"/>
          <w:lang w:val="en-US"/>
        </w:rPr>
        <w:t xml:space="preserve">, </w:t>
      </w:r>
      <w:r w:rsidR="00CC02B2" w:rsidRPr="00BC434D">
        <w:rPr>
          <w:rFonts w:asciiTheme="majorBidi" w:hAnsiTheme="majorBidi" w:cstheme="majorBidi"/>
          <w:lang w:val="en-US"/>
        </w:rPr>
        <w:t xml:space="preserve">p. </w:t>
      </w:r>
      <w:r w:rsidR="00B45343" w:rsidRPr="00BC434D">
        <w:rPr>
          <w:rFonts w:asciiTheme="majorBidi" w:hAnsiTheme="majorBidi" w:cstheme="majorBidi"/>
          <w:lang w:val="en-US"/>
        </w:rPr>
        <w:t>304</w:t>
      </w:r>
      <w:r w:rsidR="000A7C82" w:rsidRPr="00BC434D">
        <w:rPr>
          <w:rFonts w:asciiTheme="majorBidi" w:hAnsiTheme="majorBidi" w:cstheme="majorBidi"/>
          <w:lang w:val="en-US"/>
        </w:rPr>
        <w:t xml:space="preserve">; </w:t>
      </w:r>
      <w:r w:rsidR="00BC434D" w:rsidRPr="00BC434D">
        <w:rPr>
          <w:rFonts w:asciiTheme="majorBidi" w:hAnsiTheme="majorBidi" w:cstheme="majorBidi"/>
          <w:lang w:val="en-US"/>
        </w:rPr>
        <w:t>Kirsten Rabe</w:t>
      </w:r>
      <w:r w:rsidR="00BC434D" w:rsidRPr="00BC434D">
        <w:rPr>
          <w:rFonts w:asciiTheme="majorBidi" w:hAnsiTheme="majorBidi" w:cstheme="majorBidi"/>
          <w:i/>
          <w:iCs/>
          <w:lang w:val="en-US"/>
        </w:rPr>
        <w:t xml:space="preserve"> </w:t>
      </w:r>
      <w:r w:rsidR="00DA17EB" w:rsidRPr="00BC434D">
        <w:rPr>
          <w:rFonts w:asciiTheme="majorBidi" w:hAnsiTheme="majorBidi" w:cstheme="majorBidi"/>
          <w:lang w:val="en-US"/>
        </w:rPr>
        <w:t>Smolensky</w:t>
      </w:r>
      <w:r w:rsidR="00BC434D" w:rsidRPr="00BC434D">
        <w:rPr>
          <w:rFonts w:asciiTheme="majorBidi" w:hAnsiTheme="majorBidi" w:cstheme="majorBidi"/>
          <w:lang w:val="en-US"/>
        </w:rPr>
        <w:t xml:space="preserve">, </w:t>
      </w:r>
      <w:r w:rsidR="00CD221C" w:rsidRPr="00BC434D">
        <w:rPr>
          <w:rFonts w:asciiTheme="majorBidi" w:hAnsiTheme="majorBidi" w:cstheme="majorBidi"/>
          <w:lang w:val="en-US"/>
        </w:rPr>
        <w:t>200</w:t>
      </w:r>
      <w:r w:rsidR="00BC434D" w:rsidRPr="00BC434D">
        <w:rPr>
          <w:rFonts w:asciiTheme="majorBidi" w:hAnsiTheme="majorBidi" w:cstheme="majorBidi"/>
          <w:lang w:val="en-US"/>
        </w:rPr>
        <w:t>9</w:t>
      </w:r>
      <w:r w:rsidR="00DA17EB" w:rsidRPr="00BC434D">
        <w:rPr>
          <w:rFonts w:asciiTheme="majorBidi" w:hAnsiTheme="majorBidi" w:cstheme="majorBidi"/>
          <w:lang w:val="en-US"/>
        </w:rPr>
        <w:t xml:space="preserve">, </w:t>
      </w:r>
      <w:r w:rsidR="00B45343" w:rsidRPr="00BC434D">
        <w:rPr>
          <w:rFonts w:asciiTheme="majorBidi" w:hAnsiTheme="majorBidi" w:cstheme="majorBidi"/>
          <w:i/>
          <w:iCs/>
          <w:lang w:val="en-US"/>
        </w:rPr>
        <w:t>S</w:t>
      </w:r>
      <w:r w:rsidR="00742E20" w:rsidRPr="00BC434D">
        <w:rPr>
          <w:rFonts w:asciiTheme="majorBidi" w:hAnsiTheme="majorBidi" w:cstheme="majorBidi"/>
          <w:i/>
          <w:iCs/>
          <w:lang w:val="en-US"/>
        </w:rPr>
        <w:t xml:space="preserve">upra </w:t>
      </w:r>
      <w:r w:rsidR="00B45343" w:rsidRPr="00BC434D">
        <w:rPr>
          <w:rFonts w:asciiTheme="majorBidi" w:hAnsiTheme="majorBidi" w:cstheme="majorBidi"/>
          <w:i/>
          <w:iCs/>
          <w:lang w:val="en-US"/>
        </w:rPr>
        <w:t>n</w:t>
      </w:r>
      <w:r w:rsidR="00742E20" w:rsidRPr="00BC434D">
        <w:rPr>
          <w:rFonts w:asciiTheme="majorBidi" w:hAnsiTheme="majorBidi" w:cstheme="majorBidi"/>
          <w:i/>
          <w:iCs/>
          <w:lang w:val="en-US"/>
        </w:rPr>
        <w:t>ota</w:t>
      </w:r>
      <w:r w:rsidR="00AA6B2E" w:rsidRPr="00BC434D">
        <w:rPr>
          <w:rFonts w:asciiTheme="majorBidi" w:hAnsiTheme="majorBidi" w:cstheme="majorBidi"/>
          <w:i/>
          <w:iCs/>
          <w:lang w:val="en-US"/>
        </w:rPr>
        <w:t>,</w:t>
      </w:r>
      <w:r w:rsidR="00742E20" w:rsidRPr="00BC434D">
        <w:rPr>
          <w:rFonts w:asciiTheme="majorBidi" w:hAnsiTheme="majorBidi" w:cstheme="majorBidi"/>
          <w:lang w:val="en-US"/>
        </w:rPr>
        <w:t xml:space="preserve"> </w:t>
      </w:r>
      <w:r w:rsidR="00CC02B2" w:rsidRPr="00BC434D">
        <w:rPr>
          <w:rFonts w:asciiTheme="majorBidi" w:hAnsiTheme="majorBidi" w:cstheme="majorBidi"/>
          <w:lang w:val="en-US"/>
        </w:rPr>
        <w:t xml:space="preserve">p. </w:t>
      </w:r>
      <w:r w:rsidR="00DA17EB" w:rsidRPr="00BC434D">
        <w:rPr>
          <w:rFonts w:asciiTheme="majorBidi" w:hAnsiTheme="majorBidi" w:cstheme="majorBidi"/>
          <w:lang w:val="en-US"/>
        </w:rPr>
        <w:t>76</w:t>
      </w:r>
      <w:r w:rsidR="00B45343" w:rsidRPr="00BC434D">
        <w:rPr>
          <w:rFonts w:asciiTheme="majorBidi" w:hAnsiTheme="majorBidi" w:cstheme="majorBidi"/>
          <w:lang w:val="en-US"/>
        </w:rPr>
        <w:t>5.</w:t>
      </w:r>
    </w:p>
  </w:footnote>
  <w:footnote w:id="12">
    <w:p w14:paraId="75CB289B" w14:textId="5577C289" w:rsidR="00094FEA" w:rsidRPr="00BC434D" w:rsidRDefault="00094FEA">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w:t>
      </w:r>
      <w:r w:rsidR="00BC434D" w:rsidRPr="00BC434D">
        <w:rPr>
          <w:rFonts w:asciiTheme="majorBidi" w:hAnsiTheme="majorBidi" w:cstheme="majorBidi"/>
          <w:lang w:val="en-US"/>
        </w:rPr>
        <w:t xml:space="preserve">George </w:t>
      </w:r>
      <w:r w:rsidR="00E53DED" w:rsidRPr="00BC434D">
        <w:rPr>
          <w:rFonts w:asciiTheme="majorBidi" w:hAnsiTheme="majorBidi" w:cstheme="majorBidi"/>
          <w:lang w:val="en-US"/>
        </w:rPr>
        <w:t>Pelletier Jr</w:t>
      </w:r>
      <w:r w:rsidR="00BC434D" w:rsidRPr="00BC434D">
        <w:rPr>
          <w:rFonts w:asciiTheme="majorBidi" w:hAnsiTheme="majorBidi" w:cstheme="majorBidi"/>
          <w:lang w:val="en-US"/>
        </w:rPr>
        <w:t>.</w:t>
      </w:r>
      <w:r w:rsidR="00E53DED" w:rsidRPr="00BC434D">
        <w:rPr>
          <w:rFonts w:asciiTheme="majorBidi" w:hAnsiTheme="majorBidi" w:cstheme="majorBidi"/>
          <w:lang w:val="en-US"/>
        </w:rPr>
        <w:t xml:space="preserve">, </w:t>
      </w:r>
      <w:r w:rsidR="00BC434D" w:rsidRPr="00BC434D">
        <w:rPr>
          <w:rFonts w:asciiTheme="majorBidi" w:hAnsiTheme="majorBidi" w:cstheme="majorBidi"/>
          <w:lang w:val="en-US"/>
        </w:rPr>
        <w:t xml:space="preserve">Michael Roy </w:t>
      </w:r>
      <w:r w:rsidR="00E53DED" w:rsidRPr="00BC434D">
        <w:rPr>
          <w:rFonts w:asciiTheme="majorBidi" w:hAnsiTheme="majorBidi" w:cstheme="majorBidi"/>
          <w:lang w:val="en-US"/>
        </w:rPr>
        <w:t>Sonnenreich</w:t>
      </w:r>
      <w:r w:rsidR="00BC434D" w:rsidRPr="00BC434D">
        <w:rPr>
          <w:rFonts w:asciiTheme="majorBidi" w:hAnsiTheme="majorBidi" w:cstheme="majorBidi"/>
          <w:lang w:val="en-US"/>
        </w:rPr>
        <w:t>, “</w:t>
      </w:r>
      <w:r w:rsidR="00E53DED" w:rsidRPr="00BC434D">
        <w:rPr>
          <w:rFonts w:asciiTheme="majorBidi" w:hAnsiTheme="majorBidi" w:cstheme="majorBidi"/>
          <w:lang w:val="en-US"/>
        </w:rPr>
        <w:t>A Comparative Analysis of Civil Law Successio</w:t>
      </w:r>
      <w:r w:rsidR="00BC434D" w:rsidRPr="00BC434D">
        <w:rPr>
          <w:rFonts w:asciiTheme="majorBidi" w:hAnsiTheme="majorBidi" w:cstheme="majorBidi"/>
          <w:lang w:val="en-US"/>
        </w:rPr>
        <w:t>n” in</w:t>
      </w:r>
      <w:r w:rsidR="00E53DED" w:rsidRPr="00BC434D">
        <w:rPr>
          <w:rFonts w:asciiTheme="majorBidi" w:hAnsiTheme="majorBidi" w:cstheme="majorBidi"/>
          <w:lang w:val="en-US"/>
        </w:rPr>
        <w:t xml:space="preserve"> </w:t>
      </w:r>
      <w:r w:rsidR="00E53DED" w:rsidRPr="00BC434D">
        <w:rPr>
          <w:rFonts w:asciiTheme="majorBidi" w:hAnsiTheme="majorBidi" w:cstheme="majorBidi"/>
          <w:i/>
          <w:iCs/>
          <w:lang w:val="en-US"/>
        </w:rPr>
        <w:t>Villanova Law Review</w:t>
      </w:r>
      <w:r w:rsidR="00E53DED" w:rsidRPr="00BC434D">
        <w:rPr>
          <w:rFonts w:asciiTheme="majorBidi" w:hAnsiTheme="majorBidi" w:cstheme="majorBidi"/>
          <w:lang w:val="en-US"/>
        </w:rPr>
        <w:t xml:space="preserve">., </w:t>
      </w:r>
      <w:r w:rsidR="00CC02B2" w:rsidRPr="00BC434D">
        <w:rPr>
          <w:rFonts w:asciiTheme="majorBidi" w:hAnsiTheme="majorBidi" w:cstheme="majorBidi"/>
          <w:lang w:val="en-US"/>
        </w:rPr>
        <w:t xml:space="preserve">vol. </w:t>
      </w:r>
      <w:r w:rsidR="00E53DED" w:rsidRPr="00BC434D">
        <w:rPr>
          <w:rFonts w:asciiTheme="majorBidi" w:hAnsiTheme="majorBidi" w:cstheme="majorBidi"/>
          <w:lang w:val="en-US"/>
        </w:rPr>
        <w:t>11,</w:t>
      </w:r>
      <w:r w:rsidR="00BC434D" w:rsidRPr="00BC434D">
        <w:rPr>
          <w:rFonts w:asciiTheme="majorBidi" w:hAnsiTheme="majorBidi" w:cstheme="majorBidi"/>
          <w:lang w:val="en-US"/>
        </w:rPr>
        <w:t xml:space="preserve"> 1966,</w:t>
      </w:r>
      <w:r w:rsidR="00E53DED" w:rsidRPr="00BC434D">
        <w:rPr>
          <w:rFonts w:asciiTheme="majorBidi" w:hAnsiTheme="majorBidi" w:cstheme="majorBidi"/>
          <w:lang w:val="en-US"/>
        </w:rPr>
        <w:t xml:space="preserve"> </w:t>
      </w:r>
      <w:r w:rsidR="00CC02B2" w:rsidRPr="00BC434D">
        <w:rPr>
          <w:rFonts w:asciiTheme="majorBidi" w:hAnsiTheme="majorBidi" w:cstheme="majorBidi"/>
          <w:lang w:val="en-US"/>
        </w:rPr>
        <w:t xml:space="preserve">p. </w:t>
      </w:r>
      <w:r w:rsidR="00E53DED" w:rsidRPr="00BC434D">
        <w:rPr>
          <w:rFonts w:asciiTheme="majorBidi" w:hAnsiTheme="majorBidi" w:cstheme="majorBidi"/>
          <w:lang w:val="en-US"/>
        </w:rPr>
        <w:t>32</w:t>
      </w:r>
      <w:r w:rsidR="003F0C4F" w:rsidRPr="00BC434D">
        <w:rPr>
          <w:rFonts w:asciiTheme="majorBidi" w:hAnsiTheme="majorBidi" w:cstheme="majorBidi"/>
          <w:lang w:val="en-US"/>
        </w:rPr>
        <w:t>6.</w:t>
      </w:r>
    </w:p>
  </w:footnote>
  <w:footnote w:id="13">
    <w:p w14:paraId="43ACB64A" w14:textId="0FC9F01E" w:rsidR="0070412A" w:rsidRPr="00BC434D" w:rsidRDefault="0070412A">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w:t>
      </w:r>
      <w:r w:rsidR="00BC434D" w:rsidRPr="00BC434D">
        <w:rPr>
          <w:rFonts w:asciiTheme="majorBidi" w:hAnsiTheme="majorBidi" w:cstheme="majorBidi"/>
          <w:lang w:val="en-US"/>
        </w:rPr>
        <w:t xml:space="preserve">Edina </w:t>
      </w:r>
      <w:r w:rsidRPr="00BC434D">
        <w:rPr>
          <w:rFonts w:asciiTheme="majorBidi" w:hAnsiTheme="majorBidi" w:cstheme="majorBidi"/>
          <w:lang w:val="en-US"/>
        </w:rPr>
        <w:t>Harbinja</w:t>
      </w:r>
      <w:r w:rsidR="00BC434D" w:rsidRPr="00BC434D">
        <w:rPr>
          <w:rFonts w:asciiTheme="majorBidi" w:hAnsiTheme="majorBidi" w:cstheme="majorBidi"/>
          <w:lang w:val="en-US"/>
        </w:rPr>
        <w:t>,</w:t>
      </w:r>
      <w:r w:rsidRPr="00BC434D">
        <w:rPr>
          <w:rFonts w:asciiTheme="majorBidi" w:hAnsiTheme="majorBidi" w:cstheme="majorBidi"/>
          <w:lang w:val="en-US"/>
        </w:rPr>
        <w:t xml:space="preserve"> </w:t>
      </w:r>
      <w:r w:rsidR="00BC434D" w:rsidRPr="00BC434D">
        <w:rPr>
          <w:rFonts w:asciiTheme="majorBidi" w:hAnsiTheme="majorBidi" w:cstheme="majorBidi"/>
          <w:lang w:val="en-US"/>
        </w:rPr>
        <w:t>“</w:t>
      </w:r>
      <w:r w:rsidRPr="00BC434D">
        <w:rPr>
          <w:rFonts w:asciiTheme="majorBidi" w:hAnsiTheme="majorBidi" w:cstheme="majorBidi"/>
          <w:lang w:val="en-US"/>
        </w:rPr>
        <w:t>Post-mortem privacy 2.0: theory, law, and technology</w:t>
      </w:r>
      <w:r w:rsidR="00BC434D" w:rsidRPr="00BC434D">
        <w:rPr>
          <w:rFonts w:asciiTheme="majorBidi" w:hAnsiTheme="majorBidi" w:cstheme="majorBidi"/>
          <w:lang w:val="en-US"/>
        </w:rPr>
        <w:t>” in</w:t>
      </w:r>
      <w:r w:rsidRPr="00BC434D">
        <w:rPr>
          <w:rFonts w:asciiTheme="majorBidi" w:hAnsiTheme="majorBidi" w:cstheme="majorBidi"/>
          <w:lang w:val="en-US"/>
        </w:rPr>
        <w:t xml:space="preserve"> </w:t>
      </w:r>
      <w:r w:rsidRPr="00BC434D">
        <w:rPr>
          <w:rFonts w:asciiTheme="majorBidi" w:hAnsiTheme="majorBidi" w:cstheme="majorBidi"/>
          <w:i/>
          <w:iCs/>
          <w:lang w:val="en-US"/>
        </w:rPr>
        <w:t>International Review of Law, Computers &amp; Technology</w:t>
      </w:r>
      <w:r w:rsidRPr="00BC434D">
        <w:rPr>
          <w:rFonts w:asciiTheme="majorBidi" w:hAnsiTheme="majorBidi" w:cstheme="majorBidi"/>
          <w:lang w:val="en-US"/>
        </w:rPr>
        <w:t xml:space="preserve">, </w:t>
      </w:r>
      <w:r w:rsidR="00CC02B2" w:rsidRPr="00BC434D">
        <w:rPr>
          <w:rFonts w:asciiTheme="majorBidi" w:hAnsiTheme="majorBidi" w:cstheme="majorBidi"/>
          <w:lang w:val="en-US"/>
        </w:rPr>
        <w:t xml:space="preserve">vol. </w:t>
      </w:r>
      <w:r w:rsidRPr="00BC434D">
        <w:rPr>
          <w:rFonts w:asciiTheme="majorBidi" w:hAnsiTheme="majorBidi" w:cstheme="majorBidi"/>
          <w:lang w:val="en-US"/>
        </w:rPr>
        <w:t>31(1),</w:t>
      </w:r>
      <w:r w:rsidR="00BC434D" w:rsidRPr="00BC434D">
        <w:rPr>
          <w:rFonts w:asciiTheme="majorBidi" w:hAnsiTheme="majorBidi" w:cstheme="majorBidi"/>
          <w:lang w:val="en-US"/>
        </w:rPr>
        <w:t xml:space="preserve"> 2017,</w:t>
      </w:r>
      <w:r w:rsidRPr="00BC434D">
        <w:rPr>
          <w:rFonts w:asciiTheme="majorBidi" w:hAnsiTheme="majorBidi" w:cstheme="majorBidi"/>
          <w:lang w:val="en-US"/>
        </w:rPr>
        <w:t xml:space="preserve"> </w:t>
      </w:r>
      <w:r w:rsidR="00CC02B2" w:rsidRPr="00BC434D">
        <w:rPr>
          <w:rFonts w:asciiTheme="majorBidi" w:hAnsiTheme="majorBidi" w:cstheme="majorBidi"/>
          <w:lang w:val="en-US"/>
        </w:rPr>
        <w:t xml:space="preserve">p. </w:t>
      </w:r>
      <w:r w:rsidRPr="00BC434D">
        <w:rPr>
          <w:rFonts w:asciiTheme="majorBidi" w:hAnsiTheme="majorBidi" w:cstheme="majorBidi"/>
          <w:lang w:val="en-US"/>
        </w:rPr>
        <w:t>27.</w:t>
      </w:r>
    </w:p>
  </w:footnote>
  <w:footnote w:id="14">
    <w:p w14:paraId="3035018A" w14:textId="06455986" w:rsidR="00100804" w:rsidRPr="00BC434D" w:rsidRDefault="00100804" w:rsidP="00CC02B2">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w:t>
      </w:r>
      <w:r w:rsidR="002A39C4" w:rsidRPr="00BC434D">
        <w:rPr>
          <w:rFonts w:asciiTheme="majorBidi" w:hAnsiTheme="majorBidi" w:cstheme="majorBidi"/>
          <w:lang w:val="en-US"/>
        </w:rPr>
        <w:t>Regulation (EU) 2016/679 of the European Parliament and of the Council of 27 April 2016 on the</w:t>
      </w:r>
      <w:r w:rsidR="00CC02B2" w:rsidRPr="00BC434D">
        <w:rPr>
          <w:rFonts w:asciiTheme="majorBidi" w:hAnsiTheme="majorBidi" w:cstheme="majorBidi"/>
          <w:lang w:val="en-US"/>
        </w:rPr>
        <w:t xml:space="preserve"> </w:t>
      </w:r>
      <w:r w:rsidR="002A39C4" w:rsidRPr="00BC434D">
        <w:rPr>
          <w:rFonts w:asciiTheme="majorBidi" w:hAnsiTheme="majorBidi" w:cstheme="majorBidi"/>
          <w:lang w:val="en-US"/>
        </w:rPr>
        <w:t>protection of natural persons with regard to the processing of personal data and on the free</w:t>
      </w:r>
      <w:r w:rsidR="00CC02B2" w:rsidRPr="00BC434D">
        <w:rPr>
          <w:rFonts w:asciiTheme="majorBidi" w:hAnsiTheme="majorBidi" w:cstheme="majorBidi"/>
          <w:lang w:val="en-US"/>
        </w:rPr>
        <w:t xml:space="preserve"> </w:t>
      </w:r>
      <w:r w:rsidR="002A39C4" w:rsidRPr="00BC434D">
        <w:rPr>
          <w:rFonts w:asciiTheme="majorBidi" w:hAnsiTheme="majorBidi" w:cstheme="majorBidi"/>
          <w:lang w:val="en-US"/>
        </w:rPr>
        <w:t>movement of such data, and repealing Directive 95/46/EC (General Data Protection Regulation)</w:t>
      </w:r>
      <w:r w:rsidR="00CC02B2" w:rsidRPr="00BC434D">
        <w:rPr>
          <w:rFonts w:asciiTheme="majorBidi" w:hAnsiTheme="majorBidi" w:cstheme="majorBidi"/>
          <w:lang w:val="en-US"/>
        </w:rPr>
        <w:t xml:space="preserve"> </w:t>
      </w:r>
      <w:r w:rsidR="002A39C4" w:rsidRPr="00BC434D">
        <w:rPr>
          <w:rFonts w:asciiTheme="majorBidi" w:hAnsiTheme="majorBidi" w:cstheme="majorBidi"/>
          <w:lang w:val="en-US"/>
        </w:rPr>
        <w:t>[2016] OJ (Official Journal of the European Union) L 119/1, recital 27.</w:t>
      </w:r>
    </w:p>
  </w:footnote>
  <w:footnote w:id="15">
    <w:p w14:paraId="76A080FE" w14:textId="6EA2C6BC" w:rsidR="007B513C" w:rsidRPr="00BC434D" w:rsidRDefault="007B513C">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w:t>
      </w:r>
      <w:r w:rsidR="00BC434D" w:rsidRPr="00BC434D">
        <w:rPr>
          <w:rFonts w:asciiTheme="majorBidi" w:hAnsiTheme="majorBidi" w:cstheme="majorBidi"/>
          <w:lang w:val="en-US"/>
        </w:rPr>
        <w:t xml:space="preserve">Giorgio </w:t>
      </w:r>
      <w:r w:rsidR="00E33B90" w:rsidRPr="00BC434D">
        <w:rPr>
          <w:rFonts w:asciiTheme="majorBidi" w:hAnsiTheme="majorBidi" w:cstheme="majorBidi"/>
          <w:lang w:val="en-US"/>
        </w:rPr>
        <w:t xml:space="preserve">Resta, </w:t>
      </w:r>
      <w:r w:rsidR="00BC434D" w:rsidRPr="00BC434D">
        <w:rPr>
          <w:rFonts w:asciiTheme="majorBidi" w:hAnsiTheme="majorBidi" w:cstheme="majorBidi"/>
          <w:lang w:val="en-US"/>
        </w:rPr>
        <w:t>“</w:t>
      </w:r>
      <w:r w:rsidR="00E33B90" w:rsidRPr="00BC434D">
        <w:rPr>
          <w:rFonts w:asciiTheme="majorBidi" w:hAnsiTheme="majorBidi" w:cstheme="majorBidi"/>
          <w:lang w:val="en-US"/>
        </w:rPr>
        <w:t>Personal data and digital assets after death: a comparative law perspective on the BGH Facebook ruling</w:t>
      </w:r>
      <w:r w:rsidR="00BC434D" w:rsidRPr="00BC434D">
        <w:rPr>
          <w:rFonts w:asciiTheme="majorBidi" w:hAnsiTheme="majorBidi" w:cstheme="majorBidi"/>
          <w:lang w:val="en-US"/>
        </w:rPr>
        <w:t>” in</w:t>
      </w:r>
      <w:r w:rsidR="00E33B90" w:rsidRPr="00BC434D">
        <w:rPr>
          <w:rFonts w:asciiTheme="majorBidi" w:hAnsiTheme="majorBidi" w:cstheme="majorBidi"/>
          <w:lang w:val="en-US"/>
        </w:rPr>
        <w:t xml:space="preserve"> </w:t>
      </w:r>
      <w:r w:rsidR="00BC434D" w:rsidRPr="00BC434D">
        <w:rPr>
          <w:rFonts w:asciiTheme="majorBidi" w:hAnsiTheme="majorBidi" w:cstheme="majorBidi"/>
          <w:i/>
          <w:iCs/>
          <w:lang w:val="en-US"/>
        </w:rPr>
        <w:t>Journal of European Consumer and Market Law</w:t>
      </w:r>
      <w:r w:rsidR="00E33B90" w:rsidRPr="00BC434D">
        <w:rPr>
          <w:rFonts w:asciiTheme="majorBidi" w:hAnsiTheme="majorBidi" w:cstheme="majorBidi"/>
          <w:lang w:val="en-US"/>
        </w:rPr>
        <w:t xml:space="preserve">, </w:t>
      </w:r>
      <w:r w:rsidR="00CC02B2" w:rsidRPr="00BC434D">
        <w:rPr>
          <w:rFonts w:asciiTheme="majorBidi" w:hAnsiTheme="majorBidi" w:cstheme="majorBidi"/>
          <w:lang w:val="en-US"/>
        </w:rPr>
        <w:t xml:space="preserve">vol. </w:t>
      </w:r>
      <w:r w:rsidR="00E33B90" w:rsidRPr="00BC434D">
        <w:rPr>
          <w:rFonts w:asciiTheme="majorBidi" w:hAnsiTheme="majorBidi" w:cstheme="majorBidi"/>
          <w:lang w:val="en-US"/>
        </w:rPr>
        <w:t>7(5)</w:t>
      </w:r>
      <w:r w:rsidR="007B5AF6" w:rsidRPr="00BC434D">
        <w:rPr>
          <w:rFonts w:asciiTheme="majorBidi" w:hAnsiTheme="majorBidi" w:cstheme="majorBidi"/>
          <w:lang w:val="en-US"/>
        </w:rPr>
        <w:t>,</w:t>
      </w:r>
      <w:r w:rsidR="00BC434D" w:rsidRPr="00BC434D">
        <w:rPr>
          <w:rFonts w:asciiTheme="majorBidi" w:hAnsiTheme="majorBidi" w:cstheme="majorBidi"/>
          <w:lang w:val="en-US"/>
        </w:rPr>
        <w:t xml:space="preserve"> 2018,</w:t>
      </w:r>
      <w:r w:rsidR="007B5AF6" w:rsidRPr="00BC434D">
        <w:rPr>
          <w:rFonts w:asciiTheme="majorBidi" w:hAnsiTheme="majorBidi" w:cstheme="majorBidi"/>
          <w:lang w:val="en-US"/>
        </w:rPr>
        <w:t xml:space="preserve"> </w:t>
      </w:r>
      <w:r w:rsidR="00CC02B2" w:rsidRPr="00BC434D">
        <w:rPr>
          <w:rFonts w:asciiTheme="majorBidi" w:hAnsiTheme="majorBidi" w:cstheme="majorBidi"/>
          <w:lang w:val="en-US"/>
        </w:rPr>
        <w:t xml:space="preserve">p. </w:t>
      </w:r>
      <w:r w:rsidR="00F47F8C" w:rsidRPr="00BC434D">
        <w:rPr>
          <w:rFonts w:asciiTheme="majorBidi" w:hAnsiTheme="majorBidi" w:cstheme="majorBidi"/>
          <w:lang w:val="en-US"/>
        </w:rPr>
        <w:t>201.</w:t>
      </w:r>
    </w:p>
  </w:footnote>
  <w:footnote w:id="16">
    <w:p w14:paraId="4AF3576A" w14:textId="1AA5F28E" w:rsidR="00216168" w:rsidRPr="00FF31C8" w:rsidRDefault="00216168">
      <w:pPr>
        <w:pStyle w:val="FootnoteText"/>
        <w:rPr>
          <w:rFonts w:asciiTheme="majorBidi" w:hAnsiTheme="majorBidi" w:cstheme="majorBidi"/>
          <w:lang w:val="fr-BE"/>
        </w:rPr>
      </w:pPr>
      <w:r w:rsidRPr="00BC434D">
        <w:rPr>
          <w:rStyle w:val="FootnoteReference"/>
          <w:rFonts w:asciiTheme="majorBidi" w:hAnsiTheme="majorBidi" w:cstheme="majorBidi"/>
        </w:rPr>
        <w:footnoteRef/>
      </w:r>
      <w:r w:rsidRPr="00FF31C8">
        <w:rPr>
          <w:rFonts w:asciiTheme="majorBidi" w:hAnsiTheme="majorBidi" w:cstheme="majorBidi"/>
          <w:lang w:val="fr-BE"/>
        </w:rPr>
        <w:t xml:space="preserve"> </w:t>
      </w:r>
      <w:r w:rsidR="00CA08EE" w:rsidRPr="00FF31C8">
        <w:rPr>
          <w:rFonts w:asciiTheme="majorBidi" w:hAnsiTheme="majorBidi" w:cstheme="majorBidi"/>
          <w:lang w:val="fr-BE"/>
        </w:rPr>
        <w:t>LG Berlin, 20 O 172/15, ECLI:DE:LGBE:2015:1217.20O172.15.0A</w:t>
      </w:r>
    </w:p>
  </w:footnote>
  <w:footnote w:id="17">
    <w:p w14:paraId="6C02FE36" w14:textId="0AE17968" w:rsidR="00072EB9" w:rsidRPr="002D0327" w:rsidRDefault="00072EB9">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w:t>
      </w:r>
      <w:r w:rsidR="00CA08EE" w:rsidRPr="00BC434D">
        <w:rPr>
          <w:rFonts w:asciiTheme="majorBidi" w:hAnsiTheme="majorBidi" w:cstheme="majorBidi"/>
          <w:lang w:val="en-US"/>
        </w:rPr>
        <w:t>Ibid</w:t>
      </w:r>
      <w:r w:rsidR="00D6471D" w:rsidRPr="00BC434D">
        <w:rPr>
          <w:rFonts w:asciiTheme="majorBidi" w:hAnsiTheme="majorBidi" w:cstheme="majorBidi"/>
          <w:lang w:val="en-US"/>
        </w:rPr>
        <w:t>.</w:t>
      </w:r>
    </w:p>
  </w:footnote>
  <w:footnote w:id="18">
    <w:p w14:paraId="1ECA6EE1" w14:textId="06FB5125" w:rsidR="00CA08EE" w:rsidRPr="00BC434D" w:rsidRDefault="00CA08EE">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Ibid.</w:t>
      </w:r>
    </w:p>
  </w:footnote>
  <w:footnote w:id="19">
    <w:p w14:paraId="7CC952D2" w14:textId="403B955B" w:rsidR="00C558CD" w:rsidRPr="009C41FE" w:rsidRDefault="00C558CD">
      <w:pPr>
        <w:pStyle w:val="FootnoteText"/>
        <w:rPr>
          <w:rFonts w:asciiTheme="majorBidi" w:hAnsiTheme="majorBidi" w:cstheme="majorBidi"/>
          <w:lang w:val="fr-BE"/>
        </w:rPr>
      </w:pPr>
      <w:r w:rsidRPr="00BC434D">
        <w:rPr>
          <w:rStyle w:val="FootnoteReference"/>
          <w:rFonts w:asciiTheme="majorBidi" w:hAnsiTheme="majorBidi" w:cstheme="majorBidi"/>
        </w:rPr>
        <w:footnoteRef/>
      </w:r>
      <w:r w:rsidRPr="009C41FE">
        <w:rPr>
          <w:rFonts w:asciiTheme="majorBidi" w:hAnsiTheme="majorBidi" w:cstheme="majorBidi"/>
          <w:lang w:val="fr-BE"/>
        </w:rPr>
        <w:t xml:space="preserve"> </w:t>
      </w:r>
      <w:r w:rsidR="00A06AB2" w:rsidRPr="009C41FE">
        <w:rPr>
          <w:rFonts w:asciiTheme="majorBidi" w:hAnsiTheme="majorBidi" w:cstheme="majorBidi"/>
          <w:lang w:val="fr-BE"/>
        </w:rPr>
        <w:t xml:space="preserve">BGH III ZR 183/17, ECLI:DE:BGH:2018:120718UIIIZR183.17.0 para </w:t>
      </w:r>
      <w:r w:rsidR="004D2436" w:rsidRPr="009C41FE">
        <w:rPr>
          <w:rFonts w:asciiTheme="majorBidi" w:hAnsiTheme="majorBidi" w:cstheme="majorBidi"/>
          <w:lang w:val="fr-BE"/>
        </w:rPr>
        <w:t>72-73</w:t>
      </w:r>
      <w:r w:rsidR="002D0231" w:rsidRPr="009C41FE">
        <w:rPr>
          <w:rFonts w:asciiTheme="majorBidi" w:hAnsiTheme="majorBidi" w:cstheme="majorBidi"/>
          <w:lang w:val="fr-BE"/>
        </w:rPr>
        <w:t>.</w:t>
      </w:r>
    </w:p>
  </w:footnote>
  <w:footnote w:id="20">
    <w:p w14:paraId="47A2ED85" w14:textId="542B60CD" w:rsidR="00434564" w:rsidRPr="00BC434D" w:rsidRDefault="00434564">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w:t>
      </w:r>
      <w:r w:rsidR="00BC434D" w:rsidRPr="00BC434D">
        <w:rPr>
          <w:rFonts w:asciiTheme="majorBidi" w:hAnsiTheme="majorBidi" w:cstheme="majorBidi"/>
          <w:lang w:val="en-US"/>
        </w:rPr>
        <w:t xml:space="preserve">Angelika </w:t>
      </w:r>
      <w:r w:rsidR="00BB3DBE" w:rsidRPr="00BC434D">
        <w:rPr>
          <w:rFonts w:asciiTheme="majorBidi" w:hAnsiTheme="majorBidi" w:cstheme="majorBidi"/>
          <w:lang w:val="en-US"/>
        </w:rPr>
        <w:t>Fuchs,</w:t>
      </w:r>
      <w:r w:rsidR="00BC434D" w:rsidRPr="00BC434D">
        <w:rPr>
          <w:rFonts w:asciiTheme="majorBidi" w:hAnsiTheme="majorBidi" w:cstheme="majorBidi"/>
          <w:lang w:val="en-US"/>
        </w:rPr>
        <w:t xml:space="preserve"> </w:t>
      </w:r>
      <w:r w:rsidR="00CC02B2" w:rsidRPr="00BC434D">
        <w:rPr>
          <w:rFonts w:asciiTheme="majorBidi" w:hAnsiTheme="majorBidi" w:cstheme="majorBidi"/>
          <w:lang w:val="en-US"/>
        </w:rPr>
        <w:t>‘</w:t>
      </w:r>
      <w:r w:rsidR="00BB3DBE" w:rsidRPr="00BC434D">
        <w:rPr>
          <w:rFonts w:asciiTheme="majorBidi" w:hAnsiTheme="majorBidi" w:cstheme="majorBidi"/>
          <w:lang w:val="en-US"/>
        </w:rPr>
        <w:t xml:space="preserve">What happens to your social media account when you die? The first German judgments on digital </w:t>
      </w:r>
      <w:r w:rsidR="00BC434D" w:rsidRPr="00BC434D">
        <w:rPr>
          <w:rFonts w:asciiTheme="majorBidi" w:hAnsiTheme="majorBidi" w:cstheme="majorBidi"/>
          <w:lang w:val="en-US"/>
        </w:rPr>
        <w:t>legacy”</w:t>
      </w:r>
      <w:r w:rsidR="00BB3DBE" w:rsidRPr="00BC434D">
        <w:rPr>
          <w:rFonts w:asciiTheme="majorBidi" w:hAnsiTheme="majorBidi" w:cstheme="majorBidi"/>
          <w:lang w:val="en-US"/>
        </w:rPr>
        <w:t xml:space="preserve"> </w:t>
      </w:r>
      <w:r w:rsidR="00BB3DBE" w:rsidRPr="00BC434D">
        <w:rPr>
          <w:rFonts w:asciiTheme="majorBidi" w:hAnsiTheme="majorBidi" w:cstheme="majorBidi"/>
          <w:i/>
          <w:iCs/>
          <w:lang w:val="en-US"/>
        </w:rPr>
        <w:t>ERA Forum</w:t>
      </w:r>
      <w:r w:rsidR="00BC434D" w:rsidRPr="00BC434D">
        <w:rPr>
          <w:rFonts w:asciiTheme="majorBidi" w:hAnsiTheme="majorBidi" w:cstheme="majorBidi"/>
          <w:i/>
          <w:iCs/>
          <w:lang w:val="en-US"/>
        </w:rPr>
        <w:t xml:space="preserve"> Springer Berlin Heidelberg</w:t>
      </w:r>
      <w:r w:rsidR="00BC434D" w:rsidRPr="00BC434D">
        <w:rPr>
          <w:rFonts w:asciiTheme="majorBidi" w:hAnsiTheme="majorBidi" w:cstheme="majorBidi"/>
          <w:lang w:val="en-US"/>
        </w:rPr>
        <w:t xml:space="preserve">, </w:t>
      </w:r>
      <w:r w:rsidR="00CC02B2" w:rsidRPr="00BC434D">
        <w:rPr>
          <w:rFonts w:asciiTheme="majorBidi" w:hAnsiTheme="majorBidi" w:cstheme="majorBidi"/>
          <w:lang w:val="en-US"/>
        </w:rPr>
        <w:t xml:space="preserve">vol. </w:t>
      </w:r>
      <w:r w:rsidR="00BB3DBE" w:rsidRPr="00BC434D">
        <w:rPr>
          <w:rFonts w:asciiTheme="majorBidi" w:hAnsiTheme="majorBidi" w:cstheme="majorBidi"/>
          <w:lang w:val="en-US"/>
        </w:rPr>
        <w:t>22 (1),</w:t>
      </w:r>
      <w:r w:rsidR="00BC434D" w:rsidRPr="00BC434D">
        <w:rPr>
          <w:rFonts w:asciiTheme="majorBidi" w:hAnsiTheme="majorBidi" w:cstheme="majorBidi"/>
          <w:lang w:val="en-US"/>
        </w:rPr>
        <w:t xml:space="preserve"> 2021,</w:t>
      </w:r>
      <w:r w:rsidR="00BB3DBE" w:rsidRPr="00BC434D">
        <w:rPr>
          <w:rFonts w:asciiTheme="majorBidi" w:hAnsiTheme="majorBidi" w:cstheme="majorBidi"/>
          <w:lang w:val="en-US"/>
        </w:rPr>
        <w:t xml:space="preserve"> </w:t>
      </w:r>
      <w:r w:rsidR="00CC02B2" w:rsidRPr="00BC434D">
        <w:rPr>
          <w:rFonts w:asciiTheme="majorBidi" w:hAnsiTheme="majorBidi" w:cstheme="majorBidi"/>
          <w:lang w:val="en-US"/>
        </w:rPr>
        <w:t xml:space="preserve">p. </w:t>
      </w:r>
      <w:r w:rsidR="007207A8" w:rsidRPr="00BC434D">
        <w:rPr>
          <w:rFonts w:asciiTheme="majorBidi" w:hAnsiTheme="majorBidi" w:cstheme="majorBidi"/>
          <w:lang w:val="en-US"/>
        </w:rPr>
        <w:t>3.</w:t>
      </w:r>
    </w:p>
  </w:footnote>
  <w:footnote w:id="21">
    <w:p w14:paraId="45A1E94B" w14:textId="3C51E49A" w:rsidR="0070343C" w:rsidRPr="00BC434D" w:rsidRDefault="0070343C">
      <w:pPr>
        <w:pStyle w:val="FootnoteText"/>
        <w:rPr>
          <w:rFonts w:asciiTheme="majorBidi" w:hAnsiTheme="majorBidi" w:cstheme="majorBidi"/>
          <w:lang w:val="pl-PL"/>
        </w:rPr>
      </w:pPr>
      <w:r w:rsidRPr="00BC434D">
        <w:rPr>
          <w:rStyle w:val="FootnoteReference"/>
          <w:rFonts w:asciiTheme="majorBidi" w:hAnsiTheme="majorBidi" w:cstheme="majorBidi"/>
        </w:rPr>
        <w:footnoteRef/>
      </w:r>
      <w:r w:rsidRPr="00BC434D">
        <w:rPr>
          <w:rFonts w:asciiTheme="majorBidi" w:hAnsiTheme="majorBidi" w:cstheme="majorBidi"/>
          <w:lang w:val="pl-PL"/>
        </w:rPr>
        <w:t xml:space="preserve"> </w:t>
      </w:r>
      <w:bookmarkStart w:id="2" w:name="_Hlk139233366"/>
      <w:r w:rsidR="00BC434D" w:rsidRPr="00BC434D">
        <w:rPr>
          <w:rFonts w:asciiTheme="majorBidi" w:hAnsiTheme="majorBidi" w:cstheme="majorBidi"/>
          <w:lang w:val="pl-PL"/>
        </w:rPr>
        <w:t xml:space="preserve">Angelika </w:t>
      </w:r>
      <w:r w:rsidRPr="00BC434D">
        <w:rPr>
          <w:rFonts w:asciiTheme="majorBidi" w:hAnsiTheme="majorBidi" w:cstheme="majorBidi"/>
          <w:lang w:val="pl-PL"/>
        </w:rPr>
        <w:t>Fuchs</w:t>
      </w:r>
      <w:r w:rsidR="00BC434D" w:rsidRPr="00BC434D">
        <w:rPr>
          <w:rFonts w:asciiTheme="majorBidi" w:hAnsiTheme="majorBidi" w:cstheme="majorBidi"/>
          <w:lang w:val="pl-PL"/>
        </w:rPr>
        <w:t xml:space="preserve">, </w:t>
      </w:r>
      <w:r w:rsidRPr="00BC434D">
        <w:rPr>
          <w:rFonts w:asciiTheme="majorBidi" w:hAnsiTheme="majorBidi" w:cstheme="majorBidi"/>
          <w:lang w:val="pl-PL"/>
        </w:rPr>
        <w:t xml:space="preserve">2021, </w:t>
      </w:r>
      <w:r w:rsidRPr="00BC434D">
        <w:rPr>
          <w:rFonts w:asciiTheme="majorBidi" w:hAnsiTheme="majorBidi" w:cstheme="majorBidi"/>
          <w:i/>
          <w:iCs/>
          <w:lang w:val="pl-PL"/>
        </w:rPr>
        <w:t>supra nota</w:t>
      </w:r>
      <w:bookmarkEnd w:id="2"/>
      <w:r w:rsidRPr="00BC434D">
        <w:rPr>
          <w:rFonts w:asciiTheme="majorBidi" w:hAnsiTheme="majorBidi" w:cstheme="majorBidi"/>
          <w:lang w:val="pl-PL"/>
        </w:rPr>
        <w:t xml:space="preserve">, </w:t>
      </w:r>
      <w:r w:rsidR="00CC02B2" w:rsidRPr="00BC434D">
        <w:rPr>
          <w:rFonts w:asciiTheme="majorBidi" w:hAnsiTheme="majorBidi" w:cstheme="majorBidi"/>
          <w:lang w:val="pl-PL"/>
        </w:rPr>
        <w:t xml:space="preserve">p. </w:t>
      </w:r>
      <w:r w:rsidR="008C1390" w:rsidRPr="00BC434D">
        <w:rPr>
          <w:rFonts w:asciiTheme="majorBidi" w:hAnsiTheme="majorBidi" w:cstheme="majorBidi"/>
          <w:lang w:val="pl-PL"/>
        </w:rPr>
        <w:t>5</w:t>
      </w:r>
    </w:p>
  </w:footnote>
  <w:footnote w:id="22">
    <w:p w14:paraId="6EB5183D" w14:textId="24F231E1" w:rsidR="009E4971" w:rsidRPr="00BC434D" w:rsidRDefault="009E4971">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w:t>
      </w:r>
      <w:r w:rsidR="00BC434D" w:rsidRPr="00BC434D">
        <w:rPr>
          <w:rFonts w:asciiTheme="majorBidi" w:hAnsiTheme="majorBidi" w:cstheme="majorBidi"/>
          <w:lang w:val="en-US"/>
        </w:rPr>
        <w:t xml:space="preserve">Tiina </w:t>
      </w:r>
      <w:r w:rsidR="004C44D5" w:rsidRPr="00BC434D">
        <w:rPr>
          <w:rFonts w:asciiTheme="majorBidi" w:hAnsiTheme="majorBidi" w:cstheme="majorBidi"/>
          <w:lang w:val="en-US"/>
        </w:rPr>
        <w:t xml:space="preserve">Mikk, </w:t>
      </w:r>
      <w:r w:rsidR="00BC434D" w:rsidRPr="00BC434D">
        <w:rPr>
          <w:rFonts w:asciiTheme="majorBidi" w:hAnsiTheme="majorBidi" w:cstheme="majorBidi"/>
          <w:lang w:val="en-US"/>
        </w:rPr>
        <w:t xml:space="preserve">Karin </w:t>
      </w:r>
      <w:r w:rsidR="004C44D5" w:rsidRPr="00BC434D">
        <w:rPr>
          <w:rFonts w:asciiTheme="majorBidi" w:hAnsiTheme="majorBidi" w:cstheme="majorBidi"/>
          <w:lang w:val="en-US"/>
        </w:rPr>
        <w:t>Sein</w:t>
      </w:r>
      <w:r w:rsidR="00BC434D" w:rsidRPr="00BC434D">
        <w:rPr>
          <w:rFonts w:asciiTheme="majorBidi" w:hAnsiTheme="majorBidi" w:cstheme="majorBidi"/>
          <w:lang w:val="en-US"/>
        </w:rPr>
        <w:t>, “</w:t>
      </w:r>
      <w:r w:rsidR="004C44D5" w:rsidRPr="00BC434D">
        <w:rPr>
          <w:rFonts w:asciiTheme="majorBidi" w:hAnsiTheme="majorBidi" w:cstheme="majorBidi"/>
          <w:lang w:val="en-US"/>
        </w:rPr>
        <w:t>Digital Inheritance: Heirs' Right to Claim Access to Online Accounts under Estonian Law</w:t>
      </w:r>
      <w:r w:rsidR="00BC434D" w:rsidRPr="00BC434D">
        <w:rPr>
          <w:rFonts w:asciiTheme="majorBidi" w:hAnsiTheme="majorBidi" w:cstheme="majorBidi"/>
          <w:lang w:val="en-US"/>
        </w:rPr>
        <w:t>” in</w:t>
      </w:r>
      <w:r w:rsidR="004C44D5" w:rsidRPr="00BC434D">
        <w:rPr>
          <w:rFonts w:asciiTheme="majorBidi" w:hAnsiTheme="majorBidi" w:cstheme="majorBidi"/>
          <w:lang w:val="en-US"/>
        </w:rPr>
        <w:t xml:space="preserve"> </w:t>
      </w:r>
      <w:r w:rsidR="004C44D5" w:rsidRPr="00BC434D">
        <w:rPr>
          <w:rFonts w:asciiTheme="majorBidi" w:hAnsiTheme="majorBidi" w:cstheme="majorBidi"/>
          <w:i/>
          <w:iCs/>
          <w:lang w:val="en-US"/>
        </w:rPr>
        <w:t>Juridica International</w:t>
      </w:r>
      <w:r w:rsidR="004C44D5" w:rsidRPr="00BC434D">
        <w:rPr>
          <w:rFonts w:asciiTheme="majorBidi" w:hAnsiTheme="majorBidi" w:cstheme="majorBidi"/>
          <w:lang w:val="en-US"/>
        </w:rPr>
        <w:t xml:space="preserve">, </w:t>
      </w:r>
      <w:r w:rsidR="00CC02B2" w:rsidRPr="00BC434D">
        <w:rPr>
          <w:rFonts w:asciiTheme="majorBidi" w:hAnsiTheme="majorBidi" w:cstheme="majorBidi"/>
          <w:lang w:val="en-US"/>
        </w:rPr>
        <w:t>vo</w:t>
      </w:r>
      <w:r w:rsidR="00BC434D" w:rsidRPr="00BC434D">
        <w:rPr>
          <w:rFonts w:asciiTheme="majorBidi" w:hAnsiTheme="majorBidi" w:cstheme="majorBidi"/>
          <w:lang w:val="en-US"/>
        </w:rPr>
        <w:t>l</w:t>
      </w:r>
      <w:r w:rsidR="00CC02B2" w:rsidRPr="00BC434D">
        <w:rPr>
          <w:rFonts w:asciiTheme="majorBidi" w:hAnsiTheme="majorBidi" w:cstheme="majorBidi"/>
          <w:lang w:val="en-US"/>
        </w:rPr>
        <w:t xml:space="preserve">. </w:t>
      </w:r>
      <w:r w:rsidR="004C44D5" w:rsidRPr="00BC434D">
        <w:rPr>
          <w:rFonts w:asciiTheme="majorBidi" w:hAnsiTheme="majorBidi" w:cstheme="majorBidi"/>
          <w:lang w:val="en-US"/>
        </w:rPr>
        <w:t>27,</w:t>
      </w:r>
      <w:r w:rsidR="00BC434D" w:rsidRPr="00BC434D">
        <w:rPr>
          <w:rFonts w:asciiTheme="majorBidi" w:hAnsiTheme="majorBidi" w:cstheme="majorBidi"/>
          <w:lang w:val="en-US"/>
        </w:rPr>
        <w:t xml:space="preserve"> 2018,</w:t>
      </w:r>
      <w:r w:rsidR="004C44D5" w:rsidRPr="00BC434D">
        <w:rPr>
          <w:rFonts w:asciiTheme="majorBidi" w:hAnsiTheme="majorBidi" w:cstheme="majorBidi"/>
          <w:lang w:val="en-US"/>
        </w:rPr>
        <w:t xml:space="preserve"> </w:t>
      </w:r>
      <w:r w:rsidR="00CC02B2" w:rsidRPr="00BC434D">
        <w:rPr>
          <w:rFonts w:asciiTheme="majorBidi" w:hAnsiTheme="majorBidi" w:cstheme="majorBidi"/>
          <w:lang w:val="en-US"/>
        </w:rPr>
        <w:t xml:space="preserve">pp. </w:t>
      </w:r>
      <w:r w:rsidR="004C44D5" w:rsidRPr="00BC434D">
        <w:rPr>
          <w:rFonts w:asciiTheme="majorBidi" w:hAnsiTheme="majorBidi" w:cstheme="majorBidi"/>
          <w:lang w:val="en-US"/>
        </w:rPr>
        <w:t xml:space="preserve">121-122. </w:t>
      </w:r>
    </w:p>
  </w:footnote>
  <w:footnote w:id="23">
    <w:p w14:paraId="202EED50" w14:textId="34CF9B08" w:rsidR="0006579D" w:rsidRPr="002D0327" w:rsidRDefault="0006579D">
      <w:pPr>
        <w:pStyle w:val="FootnoteText"/>
        <w:rPr>
          <w:rFonts w:asciiTheme="majorBidi" w:hAnsiTheme="majorBidi" w:cstheme="majorBidi"/>
          <w:lang w:val="de-DE"/>
        </w:rPr>
      </w:pPr>
      <w:r w:rsidRPr="00BC434D">
        <w:rPr>
          <w:rStyle w:val="FootnoteReference"/>
          <w:rFonts w:asciiTheme="majorBidi" w:hAnsiTheme="majorBidi" w:cstheme="majorBidi"/>
        </w:rPr>
        <w:footnoteRef/>
      </w:r>
      <w:r w:rsidRPr="002D0327">
        <w:rPr>
          <w:rFonts w:asciiTheme="majorBidi" w:hAnsiTheme="majorBidi" w:cstheme="majorBidi"/>
          <w:lang w:val="de-DE"/>
        </w:rPr>
        <w:t xml:space="preserve"> MüKoBGB/Leipold (Note </w:t>
      </w:r>
      <w:r w:rsidR="002C35CC" w:rsidRPr="00BC434D">
        <w:rPr>
          <w:rFonts w:asciiTheme="majorBidi" w:hAnsiTheme="majorBidi" w:cstheme="majorBidi"/>
          <w:lang w:val="uk-UA"/>
        </w:rPr>
        <w:t>13</w:t>
      </w:r>
      <w:r w:rsidRPr="002D0327">
        <w:rPr>
          <w:rFonts w:asciiTheme="majorBidi" w:hAnsiTheme="majorBidi" w:cstheme="majorBidi"/>
          <w:lang w:val="de-DE"/>
        </w:rPr>
        <w:t>), §</w:t>
      </w:r>
      <w:r w:rsidR="002C35CC" w:rsidRPr="00BC434D">
        <w:rPr>
          <w:rFonts w:asciiTheme="majorBidi" w:hAnsiTheme="majorBidi" w:cstheme="majorBidi"/>
          <w:lang w:val="uk-UA"/>
        </w:rPr>
        <w:t>1922</w:t>
      </w:r>
      <w:r w:rsidRPr="002D0327">
        <w:rPr>
          <w:rFonts w:asciiTheme="majorBidi" w:hAnsiTheme="majorBidi" w:cstheme="majorBidi"/>
          <w:lang w:val="de-DE"/>
        </w:rPr>
        <w:t xml:space="preserve"> sn. </w:t>
      </w:r>
      <w:r w:rsidR="002C35CC" w:rsidRPr="00BC434D">
        <w:rPr>
          <w:rFonts w:asciiTheme="majorBidi" w:hAnsiTheme="majorBidi" w:cstheme="majorBidi"/>
          <w:lang w:val="uk-UA"/>
        </w:rPr>
        <w:t>2</w:t>
      </w:r>
      <w:r w:rsidR="00357F23" w:rsidRPr="00BC434D">
        <w:rPr>
          <w:rFonts w:asciiTheme="majorBidi" w:hAnsiTheme="majorBidi" w:cstheme="majorBidi"/>
          <w:lang w:val="uk-UA"/>
        </w:rPr>
        <w:t xml:space="preserve">8 </w:t>
      </w:r>
    </w:p>
  </w:footnote>
  <w:footnote w:id="24">
    <w:p w14:paraId="5D209475" w14:textId="60E04284" w:rsidR="001D4EC6" w:rsidRPr="00BC434D" w:rsidRDefault="001D4EC6">
      <w:pPr>
        <w:pStyle w:val="FootnoteText"/>
        <w:rPr>
          <w:rFonts w:asciiTheme="majorBidi" w:hAnsiTheme="majorBidi" w:cstheme="majorBidi"/>
          <w:lang w:val="pl-PL"/>
        </w:rPr>
      </w:pPr>
      <w:r w:rsidRPr="00BC434D">
        <w:rPr>
          <w:rStyle w:val="FootnoteReference"/>
          <w:rFonts w:asciiTheme="majorBidi" w:hAnsiTheme="majorBidi" w:cstheme="majorBidi"/>
        </w:rPr>
        <w:footnoteRef/>
      </w:r>
      <w:r w:rsidRPr="00BC434D">
        <w:rPr>
          <w:rFonts w:asciiTheme="majorBidi" w:hAnsiTheme="majorBidi" w:cstheme="majorBidi"/>
          <w:lang w:val="pl-PL"/>
        </w:rPr>
        <w:t xml:space="preserve"> </w:t>
      </w:r>
      <w:r w:rsidR="00BC434D" w:rsidRPr="00BC434D">
        <w:rPr>
          <w:rFonts w:asciiTheme="majorBidi" w:hAnsiTheme="majorBidi" w:cstheme="majorBidi"/>
          <w:lang w:val="pl-PL"/>
        </w:rPr>
        <w:t>Angelika Fuchs, 2021</w:t>
      </w:r>
      <w:r w:rsidR="00BC434D" w:rsidRPr="00BC434D">
        <w:rPr>
          <w:rFonts w:asciiTheme="majorBidi" w:hAnsiTheme="majorBidi" w:cstheme="majorBidi"/>
          <w:i/>
          <w:iCs/>
          <w:lang w:val="pl-PL"/>
        </w:rPr>
        <w:t>, supra nota,</w:t>
      </w:r>
      <w:r w:rsidR="00BC434D" w:rsidRPr="00BC434D">
        <w:rPr>
          <w:rFonts w:asciiTheme="majorBidi" w:hAnsiTheme="majorBidi" w:cstheme="majorBidi"/>
          <w:lang w:val="pl-PL"/>
        </w:rPr>
        <w:t xml:space="preserve"> </w:t>
      </w:r>
      <w:r w:rsidR="00CC02B2" w:rsidRPr="00BC434D">
        <w:rPr>
          <w:rFonts w:asciiTheme="majorBidi" w:hAnsiTheme="majorBidi" w:cstheme="majorBidi"/>
          <w:lang w:val="pl-PL"/>
        </w:rPr>
        <w:t xml:space="preserve">p. </w:t>
      </w:r>
      <w:r w:rsidR="008B0451" w:rsidRPr="00BC434D">
        <w:rPr>
          <w:rFonts w:asciiTheme="majorBidi" w:hAnsiTheme="majorBidi" w:cstheme="majorBidi"/>
          <w:lang w:val="pl-PL"/>
        </w:rPr>
        <w:t>7.</w:t>
      </w:r>
    </w:p>
  </w:footnote>
  <w:footnote w:id="25">
    <w:p w14:paraId="7B220B39" w14:textId="51608A15" w:rsidR="00BE08E7" w:rsidRPr="00BC434D" w:rsidRDefault="00BE08E7">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w:t>
      </w:r>
      <w:r w:rsidR="00BC434D" w:rsidRPr="00BC434D">
        <w:rPr>
          <w:rFonts w:asciiTheme="majorBidi" w:hAnsiTheme="majorBidi" w:cstheme="majorBidi"/>
          <w:lang w:val="en-US"/>
        </w:rPr>
        <w:t xml:space="preserve">Ondre </w:t>
      </w:r>
      <w:r w:rsidRPr="00BC434D">
        <w:rPr>
          <w:rFonts w:asciiTheme="majorBidi" w:hAnsiTheme="majorBidi" w:cstheme="majorBidi"/>
          <w:lang w:val="en-US"/>
        </w:rPr>
        <w:t xml:space="preserve">Hamuľák, </w:t>
      </w:r>
      <w:r w:rsidR="00BC434D" w:rsidRPr="00BC434D">
        <w:rPr>
          <w:rFonts w:asciiTheme="majorBidi" w:hAnsiTheme="majorBidi" w:cstheme="majorBidi"/>
          <w:lang w:val="en-US"/>
        </w:rPr>
        <w:t>Hovsep Kocharyan, Tanel Kerikmäe, “</w:t>
      </w:r>
      <w:r w:rsidRPr="00BC434D">
        <w:rPr>
          <w:rFonts w:asciiTheme="majorBidi" w:hAnsiTheme="majorBidi" w:cstheme="majorBidi"/>
          <w:lang w:val="en-US"/>
        </w:rPr>
        <w:t>The Contemporary Issues of Post-Mortem Personal Data Protection in the EU after GDPR Entering into Force</w:t>
      </w:r>
      <w:r w:rsidR="00BC434D" w:rsidRPr="00BC434D">
        <w:rPr>
          <w:rFonts w:asciiTheme="majorBidi" w:hAnsiTheme="majorBidi" w:cstheme="majorBidi"/>
          <w:lang w:val="en-US"/>
        </w:rPr>
        <w:t>” in</w:t>
      </w:r>
      <w:r w:rsidRPr="00BC434D">
        <w:rPr>
          <w:rFonts w:asciiTheme="majorBidi" w:hAnsiTheme="majorBidi" w:cstheme="majorBidi"/>
          <w:lang w:val="en-US"/>
        </w:rPr>
        <w:t xml:space="preserve"> </w:t>
      </w:r>
      <w:r w:rsidR="00BC434D" w:rsidRPr="00BC434D">
        <w:rPr>
          <w:rFonts w:asciiTheme="majorBidi" w:hAnsiTheme="majorBidi" w:cstheme="majorBidi"/>
          <w:i/>
          <w:iCs/>
          <w:lang w:val="en-US"/>
        </w:rPr>
        <w:t>Czech Yearbook of Public &amp; Private International Law,</w:t>
      </w:r>
      <w:r w:rsidRPr="00BC434D">
        <w:rPr>
          <w:rFonts w:asciiTheme="majorBidi" w:hAnsiTheme="majorBidi" w:cstheme="majorBidi"/>
          <w:i/>
          <w:iCs/>
          <w:lang w:val="en-US"/>
        </w:rPr>
        <w:t xml:space="preserve"> </w:t>
      </w:r>
      <w:r w:rsidR="00CC02B2" w:rsidRPr="00BC434D">
        <w:rPr>
          <w:rFonts w:asciiTheme="majorBidi" w:hAnsiTheme="majorBidi" w:cstheme="majorBidi"/>
          <w:i/>
          <w:iCs/>
          <w:lang w:val="en-US"/>
        </w:rPr>
        <w:t xml:space="preserve">vol. </w:t>
      </w:r>
      <w:r w:rsidRPr="00BC434D">
        <w:rPr>
          <w:rFonts w:asciiTheme="majorBidi" w:hAnsiTheme="majorBidi" w:cstheme="majorBidi"/>
          <w:i/>
          <w:iCs/>
          <w:lang w:val="en-US"/>
        </w:rPr>
        <w:t>11</w:t>
      </w:r>
      <w:r w:rsidRPr="00BC434D">
        <w:rPr>
          <w:rFonts w:asciiTheme="majorBidi" w:hAnsiTheme="majorBidi" w:cstheme="majorBidi"/>
          <w:lang w:val="en-US"/>
        </w:rPr>
        <w:t>,</w:t>
      </w:r>
      <w:r w:rsidR="00BC434D" w:rsidRPr="00BC434D">
        <w:rPr>
          <w:rFonts w:asciiTheme="majorBidi" w:hAnsiTheme="majorBidi" w:cstheme="majorBidi"/>
          <w:lang w:val="en-US"/>
        </w:rPr>
        <w:t xml:space="preserve"> 2020,</w:t>
      </w:r>
      <w:r w:rsidRPr="00BC434D">
        <w:rPr>
          <w:rFonts w:asciiTheme="majorBidi" w:hAnsiTheme="majorBidi" w:cstheme="majorBidi"/>
          <w:lang w:val="en-US"/>
        </w:rPr>
        <w:t xml:space="preserve"> </w:t>
      </w:r>
      <w:r w:rsidR="00CC02B2" w:rsidRPr="00BC434D">
        <w:rPr>
          <w:rFonts w:asciiTheme="majorBidi" w:hAnsiTheme="majorBidi" w:cstheme="majorBidi"/>
          <w:lang w:val="en-US"/>
        </w:rPr>
        <w:t xml:space="preserve">p. </w:t>
      </w:r>
      <w:r w:rsidRPr="00BC434D">
        <w:rPr>
          <w:rFonts w:asciiTheme="majorBidi" w:hAnsiTheme="majorBidi" w:cstheme="majorBidi"/>
          <w:lang w:val="en-US"/>
        </w:rPr>
        <w:t>2</w:t>
      </w:r>
      <w:r w:rsidR="00050B17" w:rsidRPr="00BC434D">
        <w:rPr>
          <w:rFonts w:asciiTheme="majorBidi" w:hAnsiTheme="majorBidi" w:cstheme="majorBidi"/>
          <w:lang w:val="en-US"/>
        </w:rPr>
        <w:t>26</w:t>
      </w:r>
      <w:r w:rsidRPr="00BC434D">
        <w:rPr>
          <w:rFonts w:asciiTheme="majorBidi" w:hAnsiTheme="majorBidi" w:cstheme="majorBidi"/>
          <w:lang w:val="en-US"/>
        </w:rPr>
        <w:t>.</w:t>
      </w:r>
    </w:p>
  </w:footnote>
  <w:footnote w:id="26">
    <w:p w14:paraId="53175618" w14:textId="1869F10C" w:rsidR="00292605" w:rsidRPr="00BC434D" w:rsidRDefault="00292605">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w:t>
      </w:r>
      <w:r w:rsidR="00BC434D" w:rsidRPr="00BC434D">
        <w:rPr>
          <w:rFonts w:asciiTheme="majorBidi" w:hAnsiTheme="majorBidi" w:cstheme="majorBidi"/>
          <w:lang w:val="en-US"/>
        </w:rPr>
        <w:t xml:space="preserve">George Pelletier Jr., Michael Roy Sonnenreich, </w:t>
      </w:r>
      <w:r w:rsidRPr="00BC434D">
        <w:rPr>
          <w:rFonts w:asciiTheme="majorBidi" w:hAnsiTheme="majorBidi" w:cstheme="majorBidi"/>
          <w:lang w:val="en-US"/>
        </w:rPr>
        <w:t xml:space="preserve">1966, </w:t>
      </w:r>
      <w:r w:rsidRPr="00BC434D">
        <w:rPr>
          <w:rFonts w:asciiTheme="majorBidi" w:hAnsiTheme="majorBidi" w:cstheme="majorBidi"/>
          <w:i/>
          <w:iCs/>
          <w:lang w:val="en-US"/>
        </w:rPr>
        <w:t>supra nota</w:t>
      </w:r>
      <w:r w:rsidRPr="00BC434D">
        <w:rPr>
          <w:rFonts w:asciiTheme="majorBidi" w:hAnsiTheme="majorBidi" w:cstheme="majorBidi"/>
          <w:lang w:val="en-US"/>
        </w:rPr>
        <w:t xml:space="preserve">, </w:t>
      </w:r>
      <w:r w:rsidR="00CC02B2" w:rsidRPr="00BC434D">
        <w:rPr>
          <w:rFonts w:asciiTheme="majorBidi" w:hAnsiTheme="majorBidi" w:cstheme="majorBidi"/>
          <w:lang w:val="en-US"/>
        </w:rPr>
        <w:t xml:space="preserve">p. </w:t>
      </w:r>
      <w:r w:rsidR="005E439D" w:rsidRPr="00BC434D">
        <w:rPr>
          <w:rFonts w:asciiTheme="majorBidi" w:hAnsiTheme="majorBidi" w:cstheme="majorBidi"/>
          <w:lang w:val="en-US"/>
        </w:rPr>
        <w:t>326.</w:t>
      </w:r>
    </w:p>
  </w:footnote>
  <w:footnote w:id="27">
    <w:p w14:paraId="28B635C0" w14:textId="5B258A34" w:rsidR="00711372" w:rsidRPr="00BC434D" w:rsidRDefault="00711372">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w:t>
      </w:r>
      <w:r w:rsidR="00BC434D" w:rsidRPr="00BC434D">
        <w:rPr>
          <w:rFonts w:asciiTheme="majorBidi" w:hAnsiTheme="majorBidi" w:cstheme="majorBidi"/>
          <w:lang w:val="en-US"/>
        </w:rPr>
        <w:t xml:space="preserve">Michal </w:t>
      </w:r>
      <w:r w:rsidR="00E200DF" w:rsidRPr="00BC434D">
        <w:rPr>
          <w:rFonts w:asciiTheme="majorBidi" w:hAnsiTheme="majorBidi" w:cstheme="majorBidi"/>
          <w:lang w:val="en-US"/>
        </w:rPr>
        <w:t>Grochowski</w:t>
      </w:r>
      <w:r w:rsidR="00BC434D" w:rsidRPr="00BC434D">
        <w:rPr>
          <w:rFonts w:asciiTheme="majorBidi" w:hAnsiTheme="majorBidi" w:cstheme="majorBidi"/>
          <w:lang w:val="en-US"/>
        </w:rPr>
        <w:t>,</w:t>
      </w:r>
      <w:r w:rsidR="00E200DF" w:rsidRPr="00BC434D">
        <w:rPr>
          <w:rFonts w:asciiTheme="majorBidi" w:hAnsiTheme="majorBidi" w:cstheme="majorBidi"/>
          <w:lang w:val="en-US"/>
        </w:rPr>
        <w:t xml:space="preserve"> </w:t>
      </w:r>
      <w:r w:rsidR="00BC434D" w:rsidRPr="00BC434D">
        <w:rPr>
          <w:rFonts w:asciiTheme="majorBidi" w:hAnsiTheme="majorBidi" w:cstheme="majorBidi"/>
          <w:lang w:val="en-US"/>
        </w:rPr>
        <w:t>“</w:t>
      </w:r>
      <w:r w:rsidR="00E200DF" w:rsidRPr="00BC434D">
        <w:rPr>
          <w:rFonts w:asciiTheme="majorBidi" w:hAnsiTheme="majorBidi" w:cstheme="majorBidi"/>
          <w:lang w:val="en-US"/>
        </w:rPr>
        <w:t>Inheritance of the social media accounts in Poland</w:t>
      </w:r>
      <w:r w:rsidR="00BC434D" w:rsidRPr="00BC434D">
        <w:rPr>
          <w:rFonts w:asciiTheme="majorBidi" w:hAnsiTheme="majorBidi" w:cstheme="majorBidi"/>
          <w:lang w:val="en-US"/>
        </w:rPr>
        <w:t>” in</w:t>
      </w:r>
      <w:r w:rsidR="00E200DF" w:rsidRPr="00BC434D">
        <w:rPr>
          <w:rFonts w:asciiTheme="majorBidi" w:hAnsiTheme="majorBidi" w:cstheme="majorBidi"/>
          <w:lang w:val="en-US"/>
        </w:rPr>
        <w:t xml:space="preserve"> </w:t>
      </w:r>
      <w:r w:rsidR="00E200DF" w:rsidRPr="00BC434D">
        <w:rPr>
          <w:rFonts w:asciiTheme="majorBidi" w:hAnsiTheme="majorBidi" w:cstheme="majorBidi"/>
          <w:i/>
          <w:iCs/>
          <w:lang w:val="en-US"/>
        </w:rPr>
        <w:t xml:space="preserve">European </w:t>
      </w:r>
      <w:r w:rsidR="00BC434D" w:rsidRPr="00BC434D">
        <w:rPr>
          <w:rFonts w:asciiTheme="majorBidi" w:hAnsiTheme="majorBidi" w:cstheme="majorBidi"/>
          <w:i/>
          <w:iCs/>
          <w:lang w:val="en-US"/>
        </w:rPr>
        <w:t>Review</w:t>
      </w:r>
      <w:r w:rsidR="00E200DF" w:rsidRPr="00BC434D">
        <w:rPr>
          <w:rFonts w:asciiTheme="majorBidi" w:hAnsiTheme="majorBidi" w:cstheme="majorBidi"/>
          <w:i/>
          <w:iCs/>
          <w:lang w:val="en-US"/>
        </w:rPr>
        <w:t xml:space="preserve"> of </w:t>
      </w:r>
      <w:r w:rsidR="00BC434D" w:rsidRPr="00BC434D">
        <w:rPr>
          <w:rFonts w:asciiTheme="majorBidi" w:hAnsiTheme="majorBidi" w:cstheme="majorBidi"/>
          <w:i/>
          <w:iCs/>
          <w:lang w:val="en-US"/>
        </w:rPr>
        <w:t>P</w:t>
      </w:r>
      <w:r w:rsidR="00E200DF" w:rsidRPr="00BC434D">
        <w:rPr>
          <w:rFonts w:asciiTheme="majorBidi" w:hAnsiTheme="majorBidi" w:cstheme="majorBidi"/>
          <w:i/>
          <w:iCs/>
          <w:lang w:val="en-US"/>
        </w:rPr>
        <w:t xml:space="preserve">rivate </w:t>
      </w:r>
      <w:r w:rsidR="00BC434D" w:rsidRPr="00BC434D">
        <w:rPr>
          <w:rFonts w:asciiTheme="majorBidi" w:hAnsiTheme="majorBidi" w:cstheme="majorBidi"/>
          <w:i/>
          <w:iCs/>
          <w:lang w:val="en-US"/>
        </w:rPr>
        <w:t>L</w:t>
      </w:r>
      <w:r w:rsidR="00E200DF" w:rsidRPr="00BC434D">
        <w:rPr>
          <w:rFonts w:asciiTheme="majorBidi" w:hAnsiTheme="majorBidi" w:cstheme="majorBidi"/>
          <w:i/>
          <w:iCs/>
          <w:lang w:val="en-US"/>
        </w:rPr>
        <w:t>aw,</w:t>
      </w:r>
      <w:r w:rsidR="00E200DF" w:rsidRPr="00BC434D">
        <w:rPr>
          <w:rFonts w:asciiTheme="majorBidi" w:hAnsiTheme="majorBidi" w:cstheme="majorBidi"/>
          <w:lang w:val="en-US"/>
        </w:rPr>
        <w:t xml:space="preserve"> 27(5), </w:t>
      </w:r>
      <w:r w:rsidR="00BC434D" w:rsidRPr="00BC434D">
        <w:rPr>
          <w:rFonts w:asciiTheme="majorBidi" w:hAnsiTheme="majorBidi" w:cstheme="majorBidi"/>
          <w:lang w:val="en-US"/>
        </w:rPr>
        <w:t>2019, p.</w:t>
      </w:r>
      <w:r w:rsidR="00E200DF" w:rsidRPr="00BC434D">
        <w:rPr>
          <w:rFonts w:asciiTheme="majorBidi" w:hAnsiTheme="majorBidi" w:cstheme="majorBidi"/>
          <w:lang w:val="en-US"/>
        </w:rPr>
        <w:t>1201.</w:t>
      </w:r>
    </w:p>
  </w:footnote>
  <w:footnote w:id="28">
    <w:p w14:paraId="548E3FAB" w14:textId="1C893122" w:rsidR="006503EE" w:rsidRPr="00BC434D" w:rsidRDefault="006503EE">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w:t>
      </w:r>
      <w:r w:rsidR="00BC434D" w:rsidRPr="00BC434D">
        <w:rPr>
          <w:rFonts w:asciiTheme="majorBidi" w:hAnsiTheme="majorBidi" w:cstheme="majorBidi"/>
          <w:lang w:val="en-US"/>
        </w:rPr>
        <w:t>Paolo Francesco Patti, Francesca Bartolini, “</w:t>
      </w:r>
      <w:r w:rsidRPr="00BC434D">
        <w:rPr>
          <w:rFonts w:asciiTheme="majorBidi" w:hAnsiTheme="majorBidi" w:cstheme="majorBidi"/>
          <w:lang w:val="en-US"/>
        </w:rPr>
        <w:t>Digital Inheritance and Post Mortem Data Protection: The Italian Reform</w:t>
      </w:r>
      <w:r w:rsidR="00BC434D" w:rsidRPr="00BC434D">
        <w:rPr>
          <w:rFonts w:asciiTheme="majorBidi" w:hAnsiTheme="majorBidi" w:cstheme="majorBidi"/>
          <w:lang w:val="en-US"/>
        </w:rPr>
        <w:t xml:space="preserve">” in </w:t>
      </w:r>
      <w:r w:rsidRPr="00BC434D">
        <w:rPr>
          <w:rFonts w:asciiTheme="majorBidi" w:hAnsiTheme="majorBidi" w:cstheme="majorBidi"/>
          <w:i/>
          <w:iCs/>
          <w:lang w:val="en-US"/>
        </w:rPr>
        <w:t>European Review of Private Law</w:t>
      </w:r>
      <w:r w:rsidRPr="00BC434D">
        <w:rPr>
          <w:rFonts w:asciiTheme="majorBidi" w:hAnsiTheme="majorBidi" w:cstheme="majorBidi"/>
          <w:lang w:val="en-US"/>
        </w:rPr>
        <w:t xml:space="preserve">, </w:t>
      </w:r>
      <w:r w:rsidRPr="00BC434D">
        <w:rPr>
          <w:rFonts w:asciiTheme="majorBidi" w:hAnsiTheme="majorBidi" w:cstheme="majorBidi"/>
          <w:i/>
          <w:iCs/>
          <w:lang w:val="en-US"/>
        </w:rPr>
        <w:t>Bocconi Legal Studies Research Paper</w:t>
      </w:r>
      <w:r w:rsidRPr="00BC434D">
        <w:rPr>
          <w:rFonts w:asciiTheme="majorBidi" w:hAnsiTheme="majorBidi" w:cstheme="majorBidi"/>
          <w:lang w:val="en-US"/>
        </w:rPr>
        <w:t xml:space="preserve">, </w:t>
      </w:r>
      <w:r w:rsidR="00BC434D" w:rsidRPr="00BC434D">
        <w:rPr>
          <w:rFonts w:asciiTheme="majorBidi" w:hAnsiTheme="majorBidi" w:cstheme="majorBidi"/>
          <w:lang w:val="en-US"/>
        </w:rPr>
        <w:t xml:space="preserve">2019, </w:t>
      </w:r>
      <w:r w:rsidR="00CC02B2" w:rsidRPr="00BC434D">
        <w:rPr>
          <w:rFonts w:asciiTheme="majorBidi" w:hAnsiTheme="majorBidi" w:cstheme="majorBidi"/>
          <w:lang w:val="en-US"/>
        </w:rPr>
        <w:t xml:space="preserve">p. </w:t>
      </w:r>
      <w:r w:rsidRPr="00BC434D">
        <w:rPr>
          <w:rFonts w:asciiTheme="majorBidi" w:hAnsiTheme="majorBidi" w:cstheme="majorBidi"/>
          <w:lang w:val="en-US"/>
        </w:rPr>
        <w:t>118</w:t>
      </w:r>
      <w:r w:rsidR="00B5626E" w:rsidRPr="00BC434D">
        <w:rPr>
          <w:rFonts w:asciiTheme="majorBidi" w:hAnsiTheme="majorBidi" w:cstheme="majorBidi"/>
          <w:lang w:val="en-US"/>
        </w:rPr>
        <w:t>2</w:t>
      </w:r>
      <w:r w:rsidRPr="00BC434D">
        <w:rPr>
          <w:rFonts w:asciiTheme="majorBidi" w:hAnsiTheme="majorBidi" w:cstheme="majorBidi"/>
          <w:lang w:val="en-US"/>
        </w:rPr>
        <w:t>.</w:t>
      </w:r>
    </w:p>
  </w:footnote>
  <w:footnote w:id="29">
    <w:p w14:paraId="2B7640F8" w14:textId="25561AB6" w:rsidR="008E013C" w:rsidRPr="00BC434D" w:rsidRDefault="008E013C">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Decreto legislativo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w:t>
      </w:r>
    </w:p>
  </w:footnote>
  <w:footnote w:id="30">
    <w:p w14:paraId="68140054" w14:textId="56B203CC" w:rsidR="00464E91" w:rsidRPr="00BC434D" w:rsidRDefault="00464E91" w:rsidP="00A159EC">
      <w:pPr>
        <w:pStyle w:val="FootnoteText"/>
        <w:rPr>
          <w:rFonts w:asciiTheme="majorBidi" w:hAnsiTheme="majorBidi" w:cstheme="majorBidi"/>
          <w:lang w:val="pl-PL"/>
        </w:rPr>
      </w:pPr>
      <w:r w:rsidRPr="00BC434D">
        <w:rPr>
          <w:rStyle w:val="FootnoteReference"/>
          <w:rFonts w:asciiTheme="majorBidi" w:hAnsiTheme="majorBidi" w:cstheme="majorBidi"/>
        </w:rPr>
        <w:footnoteRef/>
      </w:r>
      <w:r w:rsidRPr="00BC434D">
        <w:rPr>
          <w:rFonts w:asciiTheme="majorBidi" w:hAnsiTheme="majorBidi" w:cstheme="majorBidi"/>
          <w:lang w:val="pl-PL"/>
        </w:rPr>
        <w:t xml:space="preserve"> </w:t>
      </w:r>
      <w:r w:rsidR="00BC434D" w:rsidRPr="00BC434D">
        <w:rPr>
          <w:rFonts w:asciiTheme="majorBidi" w:hAnsiTheme="majorBidi" w:cstheme="majorBidi"/>
          <w:lang w:val="pl-PL"/>
        </w:rPr>
        <w:t xml:space="preserve">Paolo Francesco Patti, Francesca Bartolini, </w:t>
      </w:r>
      <w:r w:rsidR="00C613A3" w:rsidRPr="00BC434D">
        <w:rPr>
          <w:rFonts w:asciiTheme="majorBidi" w:hAnsiTheme="majorBidi" w:cstheme="majorBidi"/>
          <w:lang w:val="pl-PL"/>
        </w:rPr>
        <w:t>2019</w:t>
      </w:r>
      <w:r w:rsidR="00BC434D" w:rsidRPr="00BC434D">
        <w:rPr>
          <w:rFonts w:asciiTheme="majorBidi" w:hAnsiTheme="majorBidi" w:cstheme="majorBidi"/>
          <w:lang w:val="pl-PL"/>
        </w:rPr>
        <w:t>,</w:t>
      </w:r>
      <w:r w:rsidR="00C613A3" w:rsidRPr="00BC434D">
        <w:rPr>
          <w:rFonts w:asciiTheme="majorBidi" w:hAnsiTheme="majorBidi" w:cstheme="majorBidi"/>
          <w:lang w:val="pl-PL"/>
        </w:rPr>
        <w:t xml:space="preserve"> </w:t>
      </w:r>
      <w:r w:rsidR="003264FC" w:rsidRPr="00BC434D">
        <w:rPr>
          <w:rFonts w:asciiTheme="majorBidi" w:hAnsiTheme="majorBidi" w:cstheme="majorBidi"/>
          <w:i/>
          <w:iCs/>
          <w:lang w:val="pl-PL"/>
        </w:rPr>
        <w:t>S</w:t>
      </w:r>
      <w:r w:rsidR="00C613A3" w:rsidRPr="00BC434D">
        <w:rPr>
          <w:rFonts w:asciiTheme="majorBidi" w:hAnsiTheme="majorBidi" w:cstheme="majorBidi"/>
          <w:i/>
          <w:iCs/>
          <w:lang w:val="pl-PL"/>
        </w:rPr>
        <w:t>upra nota</w:t>
      </w:r>
      <w:r w:rsidR="00413CF2" w:rsidRPr="00BC434D">
        <w:rPr>
          <w:rFonts w:asciiTheme="majorBidi" w:hAnsiTheme="majorBidi" w:cstheme="majorBidi"/>
          <w:lang w:val="pl-PL"/>
        </w:rPr>
        <w:t xml:space="preserve">, </w:t>
      </w:r>
      <w:r w:rsidR="00CC02B2" w:rsidRPr="00BC434D">
        <w:rPr>
          <w:rFonts w:asciiTheme="majorBidi" w:hAnsiTheme="majorBidi" w:cstheme="majorBidi"/>
          <w:lang w:val="pl-PL"/>
        </w:rPr>
        <w:t xml:space="preserve">p. </w:t>
      </w:r>
      <w:r w:rsidR="003264FC" w:rsidRPr="00BC434D">
        <w:rPr>
          <w:rFonts w:asciiTheme="majorBidi" w:hAnsiTheme="majorBidi" w:cstheme="majorBidi"/>
          <w:lang w:val="pl-PL"/>
        </w:rPr>
        <w:t>1183.</w:t>
      </w:r>
    </w:p>
  </w:footnote>
  <w:footnote w:id="31">
    <w:p w14:paraId="28F7FB5E" w14:textId="6FBF20EA" w:rsidR="00044935" w:rsidRPr="00FF31C8" w:rsidRDefault="00044935">
      <w:pPr>
        <w:pStyle w:val="FootnoteText"/>
        <w:rPr>
          <w:rFonts w:asciiTheme="majorBidi" w:hAnsiTheme="majorBidi" w:cstheme="majorBidi"/>
          <w:lang w:val="fr-BE"/>
        </w:rPr>
      </w:pPr>
      <w:r w:rsidRPr="00BC434D">
        <w:rPr>
          <w:rStyle w:val="FootnoteReference"/>
          <w:rFonts w:asciiTheme="majorBidi" w:hAnsiTheme="majorBidi" w:cstheme="majorBidi"/>
        </w:rPr>
        <w:footnoteRef/>
      </w:r>
      <w:r w:rsidRPr="00BC434D">
        <w:rPr>
          <w:rFonts w:asciiTheme="majorBidi" w:hAnsiTheme="majorBidi" w:cstheme="majorBidi"/>
          <w:lang w:val="uk-UA"/>
        </w:rPr>
        <w:t xml:space="preserve"> </w:t>
      </w:r>
      <w:r w:rsidRPr="00FF31C8">
        <w:rPr>
          <w:rFonts w:asciiTheme="majorBidi" w:hAnsiTheme="majorBidi" w:cstheme="majorBidi"/>
          <w:lang w:val="fr-BE"/>
        </w:rPr>
        <w:t>Tribunale Ordinario di Milano, N. R.G. 2020/44578 p.4</w:t>
      </w:r>
    </w:p>
  </w:footnote>
  <w:footnote w:id="32">
    <w:p w14:paraId="7DDAA003" w14:textId="40A0B44B" w:rsidR="005D4511" w:rsidRPr="00BC434D" w:rsidRDefault="005D4511">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FF31C8">
        <w:rPr>
          <w:rFonts w:asciiTheme="majorBidi" w:hAnsiTheme="majorBidi" w:cstheme="majorBidi"/>
          <w:lang w:val="fr-BE"/>
        </w:rPr>
        <w:t xml:space="preserve"> Tribunale Ordinario di Milano, N. R.G. 2020/44578 p.4. </w:t>
      </w:r>
      <w:r w:rsidRPr="00BC434D">
        <w:rPr>
          <w:rFonts w:asciiTheme="majorBidi" w:hAnsiTheme="majorBidi" w:cstheme="majorBidi"/>
          <w:lang w:val="en-US"/>
        </w:rPr>
        <w:t>Translated from Italian:  «…also in the case in question the legislator - with a view to protecting the same rights to dignity and self-determination (rights that concern both the physical dimension of the person and that which pertains to the relationship with the personal data which express and create a part of the identity of the person himself) has expressly valued the autonomy of the individual, leaving him the choice of whether to leave the right to access his personal data (and exercise all or part of the related rights) to heirs and legitimated successors or deny access to such information to the third parties…»</w:t>
      </w:r>
    </w:p>
  </w:footnote>
  <w:footnote w:id="33">
    <w:p w14:paraId="42D833A3" w14:textId="2807F567" w:rsidR="00727BE9" w:rsidRPr="00BC434D" w:rsidRDefault="00727BE9">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The French Data Protection Authority.</w:t>
      </w:r>
    </w:p>
  </w:footnote>
  <w:footnote w:id="34">
    <w:p w14:paraId="14C746B9" w14:textId="112F09F4" w:rsidR="00FC6948" w:rsidRPr="00BC434D" w:rsidRDefault="00FC6948">
      <w:pPr>
        <w:pStyle w:val="FootnoteText"/>
        <w:rPr>
          <w:rFonts w:asciiTheme="majorBidi" w:hAnsiTheme="majorBidi" w:cstheme="majorBidi"/>
          <w:lang w:val="pl-PL"/>
        </w:rPr>
      </w:pPr>
      <w:r w:rsidRPr="00BC434D">
        <w:rPr>
          <w:rStyle w:val="FootnoteReference"/>
          <w:rFonts w:asciiTheme="majorBidi" w:hAnsiTheme="majorBidi" w:cstheme="majorBidi"/>
        </w:rPr>
        <w:footnoteRef/>
      </w:r>
      <w:r w:rsidRPr="00BC434D">
        <w:rPr>
          <w:rFonts w:asciiTheme="majorBidi" w:hAnsiTheme="majorBidi" w:cstheme="majorBidi"/>
          <w:lang w:val="pl-PL"/>
        </w:rPr>
        <w:t xml:space="preserve"> </w:t>
      </w:r>
      <w:r w:rsidR="004B39EF" w:rsidRPr="00BC434D">
        <w:rPr>
          <w:rFonts w:asciiTheme="majorBidi" w:hAnsiTheme="majorBidi" w:cstheme="majorBidi"/>
          <w:lang w:val="pl-PL"/>
        </w:rPr>
        <w:t xml:space="preserve">Malgieri, G. (2018), </w:t>
      </w:r>
      <w:r w:rsidR="004B39EF" w:rsidRPr="00BC434D">
        <w:rPr>
          <w:rFonts w:asciiTheme="majorBidi" w:hAnsiTheme="majorBidi" w:cstheme="majorBidi"/>
          <w:i/>
          <w:iCs/>
          <w:lang w:val="pl-PL"/>
        </w:rPr>
        <w:t>supra nota</w:t>
      </w:r>
      <w:r w:rsidR="004B39EF" w:rsidRPr="00BC434D">
        <w:rPr>
          <w:rFonts w:asciiTheme="majorBidi" w:hAnsiTheme="majorBidi" w:cstheme="majorBidi"/>
          <w:lang w:val="pl-PL"/>
        </w:rPr>
        <w:t xml:space="preserve">, </w:t>
      </w:r>
      <w:r w:rsidR="00CC02B2" w:rsidRPr="00BC434D">
        <w:rPr>
          <w:rFonts w:asciiTheme="majorBidi" w:hAnsiTheme="majorBidi" w:cstheme="majorBidi"/>
          <w:lang w:val="pl-PL"/>
        </w:rPr>
        <w:t xml:space="preserve">p. </w:t>
      </w:r>
      <w:r w:rsidR="004B39EF" w:rsidRPr="00BC434D">
        <w:rPr>
          <w:rFonts w:asciiTheme="majorBidi" w:hAnsiTheme="majorBidi" w:cstheme="majorBidi"/>
          <w:lang w:val="pl-PL"/>
        </w:rPr>
        <w:t>1</w:t>
      </w:r>
      <w:r w:rsidR="00CA5B5D" w:rsidRPr="00BC434D">
        <w:rPr>
          <w:rFonts w:asciiTheme="majorBidi" w:hAnsiTheme="majorBidi" w:cstheme="majorBidi"/>
          <w:lang w:val="pl-PL"/>
        </w:rPr>
        <w:t>5</w:t>
      </w:r>
    </w:p>
  </w:footnote>
  <w:footnote w:id="35">
    <w:p w14:paraId="073D2A28" w14:textId="3F8D8608" w:rsidR="007A6095" w:rsidRPr="00FF31C8" w:rsidRDefault="007A6095">
      <w:pPr>
        <w:pStyle w:val="FootnoteText"/>
        <w:rPr>
          <w:rFonts w:asciiTheme="majorBidi" w:hAnsiTheme="majorBidi" w:cstheme="majorBidi"/>
          <w:lang w:val="fr-BE"/>
        </w:rPr>
      </w:pPr>
      <w:r w:rsidRPr="00BC434D">
        <w:rPr>
          <w:rStyle w:val="FootnoteReference"/>
          <w:rFonts w:asciiTheme="majorBidi" w:hAnsiTheme="majorBidi" w:cstheme="majorBidi"/>
        </w:rPr>
        <w:footnoteRef/>
      </w:r>
      <w:r w:rsidRPr="00FF31C8">
        <w:rPr>
          <w:rFonts w:asciiTheme="majorBidi" w:hAnsiTheme="majorBidi" w:cstheme="majorBidi"/>
          <w:lang w:val="fr-BE"/>
        </w:rPr>
        <w:t xml:space="preserve"> Ibid.</w:t>
      </w:r>
    </w:p>
  </w:footnote>
  <w:footnote w:id="36">
    <w:p w14:paraId="23D380E6" w14:textId="1380C368" w:rsidR="000D7EDD" w:rsidRPr="00FF31C8" w:rsidRDefault="000D7EDD">
      <w:pPr>
        <w:pStyle w:val="FootnoteText"/>
        <w:rPr>
          <w:rFonts w:asciiTheme="majorBidi" w:hAnsiTheme="majorBidi" w:cstheme="majorBidi"/>
          <w:lang w:val="fr-BE"/>
        </w:rPr>
      </w:pPr>
      <w:r w:rsidRPr="00BC434D">
        <w:rPr>
          <w:rStyle w:val="FootnoteReference"/>
          <w:rFonts w:asciiTheme="majorBidi" w:hAnsiTheme="majorBidi" w:cstheme="majorBidi"/>
        </w:rPr>
        <w:footnoteRef/>
      </w:r>
      <w:r w:rsidRPr="00FF31C8">
        <w:rPr>
          <w:rFonts w:asciiTheme="majorBidi" w:hAnsiTheme="majorBidi" w:cstheme="majorBidi"/>
          <w:lang w:val="fr-BE"/>
        </w:rPr>
        <w:t xml:space="preserve"> </w:t>
      </w:r>
      <w:r w:rsidR="004F06BB" w:rsidRPr="00FF31C8">
        <w:rPr>
          <w:rFonts w:asciiTheme="majorBidi" w:hAnsiTheme="majorBidi" w:cstheme="majorBidi"/>
          <w:lang w:val="fr-BE"/>
        </w:rPr>
        <w:t>LOI n° 2016-1321 du 7 octobre 2016 pour une République numérique, art 40.</w:t>
      </w:r>
    </w:p>
  </w:footnote>
  <w:footnote w:id="37">
    <w:p w14:paraId="72B50B9D" w14:textId="6D38E518" w:rsidR="00764FCB" w:rsidRPr="00BC434D" w:rsidRDefault="00764FCB">
      <w:pPr>
        <w:pStyle w:val="FootnoteText"/>
        <w:rPr>
          <w:rFonts w:asciiTheme="majorBidi" w:hAnsiTheme="majorBidi" w:cstheme="majorBidi"/>
          <w:lang w:val="pl-PL"/>
        </w:rPr>
      </w:pPr>
      <w:r w:rsidRPr="00BC434D">
        <w:rPr>
          <w:rStyle w:val="FootnoteReference"/>
          <w:rFonts w:asciiTheme="majorBidi" w:hAnsiTheme="majorBidi" w:cstheme="majorBidi"/>
        </w:rPr>
        <w:footnoteRef/>
      </w:r>
      <w:r w:rsidRPr="00BC434D">
        <w:rPr>
          <w:rFonts w:asciiTheme="majorBidi" w:hAnsiTheme="majorBidi" w:cstheme="majorBidi"/>
          <w:lang w:val="pl-PL"/>
        </w:rPr>
        <w:t xml:space="preserve"> </w:t>
      </w:r>
      <w:r w:rsidR="00A6047B" w:rsidRPr="00BC434D">
        <w:rPr>
          <w:rFonts w:asciiTheme="majorBidi" w:hAnsiTheme="majorBidi" w:cstheme="majorBidi"/>
          <w:lang w:val="pl-PL"/>
        </w:rPr>
        <w:t xml:space="preserve">Malgieri, G. (2018), </w:t>
      </w:r>
      <w:r w:rsidR="0052780D">
        <w:rPr>
          <w:rFonts w:asciiTheme="majorBidi" w:hAnsiTheme="majorBidi" w:cstheme="majorBidi"/>
          <w:i/>
          <w:iCs/>
          <w:lang w:val="pl-PL"/>
        </w:rPr>
        <w:t>S</w:t>
      </w:r>
      <w:r w:rsidR="00A6047B" w:rsidRPr="00BC434D">
        <w:rPr>
          <w:rFonts w:asciiTheme="majorBidi" w:hAnsiTheme="majorBidi" w:cstheme="majorBidi"/>
          <w:i/>
          <w:iCs/>
          <w:lang w:val="pl-PL"/>
        </w:rPr>
        <w:t>upra nota</w:t>
      </w:r>
      <w:r w:rsidR="00A6047B" w:rsidRPr="00BC434D">
        <w:rPr>
          <w:rFonts w:asciiTheme="majorBidi" w:hAnsiTheme="majorBidi" w:cstheme="majorBidi"/>
          <w:lang w:val="pl-PL"/>
        </w:rPr>
        <w:t xml:space="preserve">, </w:t>
      </w:r>
      <w:r w:rsidR="00CC02B2" w:rsidRPr="00BC434D">
        <w:rPr>
          <w:rFonts w:asciiTheme="majorBidi" w:hAnsiTheme="majorBidi" w:cstheme="majorBidi"/>
          <w:lang w:val="pl-PL"/>
        </w:rPr>
        <w:t xml:space="preserve">p. </w:t>
      </w:r>
      <w:r w:rsidR="00A6047B" w:rsidRPr="00BC434D">
        <w:rPr>
          <w:rFonts w:asciiTheme="majorBidi" w:hAnsiTheme="majorBidi" w:cstheme="majorBidi"/>
          <w:lang w:val="pl-PL"/>
        </w:rPr>
        <w:t>16</w:t>
      </w:r>
    </w:p>
  </w:footnote>
  <w:footnote w:id="38">
    <w:p w14:paraId="1C9F2E57" w14:textId="0CB6E4A9" w:rsidR="00941FCE" w:rsidRPr="00BC434D" w:rsidRDefault="00941FCE">
      <w:pPr>
        <w:pStyle w:val="FootnoteText"/>
        <w:rPr>
          <w:rFonts w:asciiTheme="majorBidi" w:hAnsiTheme="majorBidi" w:cstheme="majorBidi"/>
          <w:lang w:val="pl-PL"/>
        </w:rPr>
      </w:pPr>
      <w:r w:rsidRPr="00BC434D">
        <w:rPr>
          <w:rStyle w:val="FootnoteReference"/>
          <w:rFonts w:asciiTheme="majorBidi" w:hAnsiTheme="majorBidi" w:cstheme="majorBidi"/>
        </w:rPr>
        <w:footnoteRef/>
      </w:r>
      <w:r w:rsidR="007D7F3E" w:rsidRPr="00BC434D">
        <w:rPr>
          <w:rFonts w:asciiTheme="majorBidi" w:hAnsiTheme="majorBidi" w:cstheme="majorBidi"/>
          <w:lang w:val="pl-PL"/>
        </w:rPr>
        <w:t xml:space="preserve"> Ibid.</w:t>
      </w:r>
    </w:p>
  </w:footnote>
  <w:footnote w:id="39">
    <w:p w14:paraId="37500EBA" w14:textId="44778849" w:rsidR="0014515D" w:rsidRPr="00BC434D" w:rsidRDefault="0014515D">
      <w:pPr>
        <w:pStyle w:val="FootnoteText"/>
        <w:rPr>
          <w:rFonts w:asciiTheme="majorBidi" w:hAnsiTheme="majorBidi" w:cstheme="majorBidi"/>
          <w:lang w:val="pl-PL"/>
        </w:rPr>
      </w:pPr>
      <w:r w:rsidRPr="00BC434D">
        <w:rPr>
          <w:rStyle w:val="FootnoteReference"/>
          <w:rFonts w:asciiTheme="majorBidi" w:hAnsiTheme="majorBidi" w:cstheme="majorBidi"/>
        </w:rPr>
        <w:footnoteRef/>
      </w:r>
      <w:r w:rsidRPr="00BC434D">
        <w:rPr>
          <w:rFonts w:asciiTheme="majorBidi" w:hAnsiTheme="majorBidi" w:cstheme="majorBidi"/>
          <w:lang w:val="pl-PL"/>
        </w:rPr>
        <w:t xml:space="preserve"> </w:t>
      </w:r>
      <w:r w:rsidR="00561132" w:rsidRPr="00BC434D">
        <w:rPr>
          <w:rFonts w:asciiTheme="majorBidi" w:hAnsiTheme="majorBidi" w:cstheme="majorBidi"/>
          <w:lang w:val="pl-PL"/>
        </w:rPr>
        <w:t xml:space="preserve">Grochowski, M. F. (2019), </w:t>
      </w:r>
      <w:r w:rsidR="006C12A8" w:rsidRPr="00BC434D">
        <w:rPr>
          <w:rFonts w:asciiTheme="majorBidi" w:hAnsiTheme="majorBidi" w:cstheme="majorBidi"/>
          <w:i/>
          <w:iCs/>
          <w:lang w:val="pl-PL"/>
        </w:rPr>
        <w:t>S</w:t>
      </w:r>
      <w:r w:rsidR="00561132" w:rsidRPr="00BC434D">
        <w:rPr>
          <w:rFonts w:asciiTheme="majorBidi" w:hAnsiTheme="majorBidi" w:cstheme="majorBidi"/>
          <w:i/>
          <w:iCs/>
          <w:lang w:val="pl-PL"/>
        </w:rPr>
        <w:t>upra nota</w:t>
      </w:r>
      <w:r w:rsidR="00561132" w:rsidRPr="00BC434D">
        <w:rPr>
          <w:rFonts w:asciiTheme="majorBidi" w:hAnsiTheme="majorBidi" w:cstheme="majorBidi"/>
          <w:lang w:val="pl-PL"/>
        </w:rPr>
        <w:t xml:space="preserve">, </w:t>
      </w:r>
      <w:r w:rsidR="00CC02B2" w:rsidRPr="00BC434D">
        <w:rPr>
          <w:rFonts w:asciiTheme="majorBidi" w:hAnsiTheme="majorBidi" w:cstheme="majorBidi"/>
          <w:lang w:val="pl-PL"/>
        </w:rPr>
        <w:t xml:space="preserve">p. </w:t>
      </w:r>
      <w:r w:rsidR="00561132" w:rsidRPr="00BC434D">
        <w:rPr>
          <w:rFonts w:asciiTheme="majorBidi" w:hAnsiTheme="majorBidi" w:cstheme="majorBidi"/>
          <w:lang w:val="pl-PL"/>
        </w:rPr>
        <w:t>1204.</w:t>
      </w:r>
    </w:p>
  </w:footnote>
  <w:footnote w:id="40">
    <w:p w14:paraId="255AFBE0" w14:textId="345A0B61" w:rsidR="00B8677A" w:rsidRPr="00BC434D" w:rsidRDefault="00B8677A">
      <w:pPr>
        <w:pStyle w:val="FootnoteText"/>
        <w:rPr>
          <w:rFonts w:asciiTheme="majorBidi" w:hAnsiTheme="majorBidi" w:cstheme="majorBidi"/>
          <w:lang w:val="pl-PL"/>
        </w:rPr>
      </w:pPr>
      <w:r w:rsidRPr="00BC434D">
        <w:rPr>
          <w:rStyle w:val="FootnoteReference"/>
          <w:rFonts w:asciiTheme="majorBidi" w:hAnsiTheme="majorBidi" w:cstheme="majorBidi"/>
        </w:rPr>
        <w:footnoteRef/>
      </w:r>
      <w:r w:rsidRPr="00BC434D">
        <w:rPr>
          <w:rFonts w:asciiTheme="majorBidi" w:hAnsiTheme="majorBidi" w:cstheme="majorBidi"/>
          <w:lang w:val="pl-PL"/>
        </w:rPr>
        <w:t xml:space="preserve"> Ibid.</w:t>
      </w:r>
    </w:p>
  </w:footnote>
  <w:footnote w:id="41">
    <w:p w14:paraId="05E6DADE" w14:textId="3390CF4D" w:rsidR="00571941" w:rsidRPr="00BC434D" w:rsidRDefault="00571941">
      <w:pPr>
        <w:pStyle w:val="FootnoteText"/>
        <w:rPr>
          <w:rFonts w:asciiTheme="majorBidi" w:hAnsiTheme="majorBidi" w:cstheme="majorBidi"/>
          <w:lang w:val="uk-UA"/>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w:t>
      </w:r>
      <w:r w:rsidR="00BC434D" w:rsidRPr="00BC434D">
        <w:rPr>
          <w:rFonts w:asciiTheme="majorBidi" w:hAnsiTheme="majorBidi" w:cstheme="majorBidi"/>
          <w:lang w:val="en-US"/>
        </w:rPr>
        <w:t xml:space="preserve">Gianclaudio </w:t>
      </w:r>
      <w:r w:rsidR="00561132" w:rsidRPr="00BC434D">
        <w:rPr>
          <w:rFonts w:asciiTheme="majorBidi" w:hAnsiTheme="majorBidi" w:cstheme="majorBidi"/>
          <w:lang w:val="en-US"/>
        </w:rPr>
        <w:t>Malgieri</w:t>
      </w:r>
      <w:r w:rsidR="00BC434D" w:rsidRPr="00BC434D">
        <w:rPr>
          <w:rFonts w:asciiTheme="majorBidi" w:hAnsiTheme="majorBidi" w:cstheme="majorBidi"/>
          <w:lang w:val="en-US"/>
        </w:rPr>
        <w:t xml:space="preserve">, </w:t>
      </w:r>
      <w:r w:rsidR="00561132" w:rsidRPr="00BC434D">
        <w:rPr>
          <w:rFonts w:asciiTheme="majorBidi" w:hAnsiTheme="majorBidi" w:cstheme="majorBidi"/>
          <w:lang w:val="en-US"/>
        </w:rPr>
        <w:t xml:space="preserve">2018, </w:t>
      </w:r>
      <w:r w:rsidR="006C12A8" w:rsidRPr="00BC434D">
        <w:rPr>
          <w:rFonts w:asciiTheme="majorBidi" w:hAnsiTheme="majorBidi" w:cstheme="majorBidi"/>
          <w:i/>
          <w:iCs/>
          <w:lang w:val="en-US"/>
        </w:rPr>
        <w:t>S</w:t>
      </w:r>
      <w:r w:rsidR="00561132" w:rsidRPr="00BC434D">
        <w:rPr>
          <w:rFonts w:asciiTheme="majorBidi" w:hAnsiTheme="majorBidi" w:cstheme="majorBidi"/>
          <w:i/>
          <w:iCs/>
          <w:lang w:val="en-US"/>
        </w:rPr>
        <w:t>upra nota</w:t>
      </w:r>
      <w:r w:rsidR="00561132" w:rsidRPr="00BC434D">
        <w:rPr>
          <w:rFonts w:asciiTheme="majorBidi" w:hAnsiTheme="majorBidi" w:cstheme="majorBidi"/>
          <w:lang w:val="en-US"/>
        </w:rPr>
        <w:t xml:space="preserve">, </w:t>
      </w:r>
      <w:r w:rsidR="00CC02B2" w:rsidRPr="00BC434D">
        <w:rPr>
          <w:rFonts w:asciiTheme="majorBidi" w:hAnsiTheme="majorBidi" w:cstheme="majorBidi"/>
          <w:lang w:val="en-US"/>
        </w:rPr>
        <w:t xml:space="preserve">p. </w:t>
      </w:r>
      <w:r w:rsidR="00E31A56" w:rsidRPr="00BC434D">
        <w:rPr>
          <w:rFonts w:asciiTheme="majorBidi" w:hAnsiTheme="majorBidi" w:cstheme="majorBidi"/>
          <w:lang w:val="en-US"/>
        </w:rPr>
        <w:t>3</w:t>
      </w:r>
    </w:p>
  </w:footnote>
  <w:footnote w:id="42">
    <w:p w14:paraId="1D4D6BB7" w14:textId="2B24070D" w:rsidR="00FA3AD7" w:rsidRPr="00BC434D" w:rsidRDefault="00FA3AD7">
      <w:pPr>
        <w:pStyle w:val="FootnoteText"/>
        <w:rPr>
          <w:rFonts w:asciiTheme="majorBidi" w:hAnsiTheme="majorBidi" w:cstheme="majorBidi"/>
          <w:lang w:val="en-GB"/>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w:t>
      </w:r>
      <w:r w:rsidR="00BC434D" w:rsidRPr="00BC434D">
        <w:rPr>
          <w:rFonts w:asciiTheme="majorBidi" w:hAnsiTheme="majorBidi" w:cstheme="majorBidi"/>
          <w:lang w:val="en-US"/>
        </w:rPr>
        <w:t xml:space="preserve">Egoyibo Lorrita </w:t>
      </w:r>
      <w:r w:rsidR="00142D3C" w:rsidRPr="00BC434D">
        <w:rPr>
          <w:rFonts w:asciiTheme="majorBidi" w:hAnsiTheme="majorBidi" w:cstheme="majorBidi"/>
          <w:lang w:val="en-US"/>
        </w:rPr>
        <w:t>Okoro,</w:t>
      </w:r>
      <w:r w:rsidR="00BA054E" w:rsidRPr="00BC434D">
        <w:rPr>
          <w:rFonts w:asciiTheme="majorBidi" w:hAnsiTheme="majorBidi" w:cstheme="majorBidi"/>
          <w:lang w:val="en-US"/>
        </w:rPr>
        <w:t xml:space="preserve"> </w:t>
      </w:r>
      <w:r w:rsidR="00BC434D" w:rsidRPr="00BC434D">
        <w:rPr>
          <w:rFonts w:asciiTheme="majorBidi" w:hAnsiTheme="majorBidi" w:cstheme="majorBidi"/>
          <w:lang w:val="en-US"/>
        </w:rPr>
        <w:t>“</w:t>
      </w:r>
      <w:r w:rsidR="00142D3C" w:rsidRPr="00BC434D">
        <w:rPr>
          <w:rFonts w:asciiTheme="majorBidi" w:hAnsiTheme="majorBidi" w:cstheme="majorBidi"/>
          <w:lang w:val="en-US"/>
        </w:rPr>
        <w:t>Death and Personal Data in the Age of Social Media</w:t>
      </w:r>
      <w:r w:rsidR="00BC434D" w:rsidRPr="00BC434D">
        <w:rPr>
          <w:rFonts w:asciiTheme="majorBidi" w:hAnsiTheme="majorBidi" w:cstheme="majorBidi"/>
          <w:lang w:val="en-US"/>
        </w:rPr>
        <w:t>” in</w:t>
      </w:r>
      <w:r w:rsidR="009D59B1" w:rsidRPr="00BC434D">
        <w:rPr>
          <w:rFonts w:asciiTheme="majorBidi" w:hAnsiTheme="majorBidi" w:cstheme="majorBidi"/>
          <w:lang w:val="en-US"/>
        </w:rPr>
        <w:t xml:space="preserve"> </w:t>
      </w:r>
      <w:r w:rsidR="009D59B1" w:rsidRPr="00BC434D">
        <w:rPr>
          <w:rFonts w:asciiTheme="majorBidi" w:hAnsiTheme="majorBidi" w:cstheme="majorBidi"/>
          <w:i/>
          <w:iCs/>
          <w:lang w:val="en-US"/>
        </w:rPr>
        <w:t>Tilburg University</w:t>
      </w:r>
      <w:r w:rsidR="009D59B1" w:rsidRPr="00BC434D">
        <w:rPr>
          <w:rFonts w:asciiTheme="majorBidi" w:hAnsiTheme="majorBidi" w:cstheme="majorBidi"/>
          <w:lang w:val="en-US"/>
        </w:rPr>
        <w:t>,</w:t>
      </w:r>
      <w:r w:rsidR="005A49AB" w:rsidRPr="00BC434D">
        <w:rPr>
          <w:rFonts w:asciiTheme="majorBidi" w:hAnsiTheme="majorBidi" w:cstheme="majorBidi"/>
          <w:lang w:val="en-US"/>
        </w:rPr>
        <w:t xml:space="preserve"> </w:t>
      </w:r>
      <w:r w:rsidR="00BC434D" w:rsidRPr="00BC434D">
        <w:rPr>
          <w:rFonts w:asciiTheme="majorBidi" w:hAnsiTheme="majorBidi" w:cstheme="majorBidi"/>
          <w:lang w:val="en-US"/>
        </w:rPr>
        <w:t xml:space="preserve">2019, </w:t>
      </w:r>
      <w:r w:rsidR="00CC02B2" w:rsidRPr="00BC434D">
        <w:rPr>
          <w:rFonts w:asciiTheme="majorBidi" w:hAnsiTheme="majorBidi" w:cstheme="majorBidi"/>
          <w:lang w:val="en-US"/>
        </w:rPr>
        <w:t xml:space="preserve">p. </w:t>
      </w:r>
      <w:r w:rsidR="005A49AB" w:rsidRPr="00BC434D">
        <w:rPr>
          <w:rFonts w:asciiTheme="majorBidi" w:hAnsiTheme="majorBidi" w:cstheme="majorBidi"/>
          <w:lang w:val="en-US"/>
        </w:rPr>
        <w:t>25.</w:t>
      </w:r>
    </w:p>
  </w:footnote>
  <w:footnote w:id="43">
    <w:p w14:paraId="7AE5A3CC" w14:textId="3E93EC86" w:rsidR="004C7000" w:rsidRPr="00BC434D" w:rsidRDefault="004C7000">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Petra</w:t>
      </w:r>
      <w:r w:rsidR="00BC434D" w:rsidRPr="00BC434D">
        <w:rPr>
          <w:rFonts w:asciiTheme="majorBidi" w:hAnsiTheme="majorBidi" w:cstheme="majorBidi"/>
          <w:lang w:val="en-US"/>
        </w:rPr>
        <w:t xml:space="preserve"> Schubauer, “</w:t>
      </w:r>
      <w:r w:rsidRPr="00BC434D">
        <w:rPr>
          <w:rFonts w:asciiTheme="majorBidi" w:hAnsiTheme="majorBidi" w:cstheme="majorBidi"/>
          <w:lang w:val="en-US"/>
        </w:rPr>
        <w:t>Legal Protection of Personal Data Relating to Personality, in Particular Certain Aspects of Post-mortem Privacy</w:t>
      </w:r>
      <w:r w:rsidR="00EE4527" w:rsidRPr="00BC434D">
        <w:rPr>
          <w:rFonts w:asciiTheme="majorBidi" w:hAnsiTheme="majorBidi" w:cstheme="majorBidi"/>
          <w:lang w:val="en-US"/>
        </w:rPr>
        <w:t>,”</w:t>
      </w:r>
      <w:r w:rsidR="00BC434D" w:rsidRPr="00BC434D">
        <w:rPr>
          <w:rFonts w:asciiTheme="majorBidi" w:hAnsiTheme="majorBidi" w:cstheme="majorBidi"/>
          <w:lang w:val="en-US"/>
        </w:rPr>
        <w:t xml:space="preserve"> </w:t>
      </w:r>
      <w:r w:rsidRPr="00BC434D">
        <w:rPr>
          <w:rFonts w:asciiTheme="majorBidi" w:hAnsiTheme="majorBidi" w:cstheme="majorBidi"/>
          <w:lang w:val="en-US"/>
        </w:rPr>
        <w:t>Doctoral dissertation</w:t>
      </w:r>
      <w:r w:rsidR="00BC434D" w:rsidRPr="00BC434D">
        <w:rPr>
          <w:rFonts w:asciiTheme="majorBidi" w:hAnsiTheme="majorBidi" w:cstheme="majorBidi"/>
          <w:lang w:val="en-US"/>
        </w:rPr>
        <w:t xml:space="preserve"> defended in 2021,</w:t>
      </w:r>
      <w:r w:rsidRPr="00BC434D">
        <w:rPr>
          <w:rFonts w:asciiTheme="majorBidi" w:hAnsiTheme="majorBidi" w:cstheme="majorBidi"/>
          <w:lang w:val="en-US"/>
        </w:rPr>
        <w:t xml:space="preserve"> Károli Gáspár University</w:t>
      </w:r>
      <w:r w:rsidR="00BC434D" w:rsidRPr="00BC434D">
        <w:rPr>
          <w:rFonts w:asciiTheme="majorBidi" w:hAnsiTheme="majorBidi" w:cstheme="majorBidi"/>
          <w:lang w:val="en-US"/>
        </w:rPr>
        <w:t xml:space="preserve">, </w:t>
      </w:r>
      <w:r w:rsidR="00AA012E" w:rsidRPr="00BC434D">
        <w:rPr>
          <w:rFonts w:asciiTheme="majorBidi" w:hAnsiTheme="majorBidi" w:cstheme="majorBidi"/>
          <w:lang w:val="en-US"/>
        </w:rPr>
        <w:t>p</w:t>
      </w:r>
      <w:r w:rsidRPr="00BC434D">
        <w:rPr>
          <w:rFonts w:asciiTheme="majorBidi" w:hAnsiTheme="majorBidi" w:cstheme="majorBidi"/>
          <w:lang w:val="en-US"/>
        </w:rPr>
        <w:t>.</w:t>
      </w:r>
      <w:r w:rsidR="00AA012E" w:rsidRPr="00BC434D">
        <w:rPr>
          <w:rFonts w:asciiTheme="majorBidi" w:hAnsiTheme="majorBidi" w:cstheme="majorBidi"/>
          <w:lang w:val="en-US"/>
        </w:rPr>
        <w:t xml:space="preserve"> 15</w:t>
      </w:r>
    </w:p>
  </w:footnote>
  <w:footnote w:id="44">
    <w:p w14:paraId="5FB62108" w14:textId="7A3F38F5" w:rsidR="007D1B60" w:rsidRPr="00BC434D" w:rsidRDefault="007D1B60">
      <w:pPr>
        <w:pStyle w:val="FootnoteText"/>
        <w:rPr>
          <w:rFonts w:asciiTheme="majorBidi" w:hAnsiTheme="majorBidi" w:cstheme="majorBidi"/>
          <w:lang w:val="en-US"/>
        </w:rPr>
      </w:pPr>
      <w:r w:rsidRPr="00BC434D">
        <w:rPr>
          <w:rStyle w:val="FootnoteReference"/>
          <w:rFonts w:asciiTheme="majorBidi" w:hAnsiTheme="majorBidi" w:cstheme="majorBidi"/>
        </w:rPr>
        <w:footnoteRef/>
      </w:r>
      <w:r w:rsidRPr="00BC434D">
        <w:rPr>
          <w:rFonts w:asciiTheme="majorBidi" w:hAnsiTheme="majorBidi" w:cstheme="majorBidi"/>
          <w:lang w:val="en-US"/>
        </w:rPr>
        <w:t xml:space="preserve"> </w:t>
      </w:r>
      <w:r w:rsidR="00BC434D" w:rsidRPr="00BC434D">
        <w:rPr>
          <w:rFonts w:asciiTheme="majorBidi" w:hAnsiTheme="majorBidi" w:cstheme="majorBidi"/>
          <w:lang w:val="en-US"/>
        </w:rPr>
        <w:t xml:space="preserve">Ondre Hamuľák, Hovsep Kocharyan, Tanel Kerikmäe, </w:t>
      </w:r>
      <w:r w:rsidR="00FC1C2B" w:rsidRPr="00BC434D">
        <w:rPr>
          <w:rFonts w:asciiTheme="majorBidi" w:hAnsiTheme="majorBidi" w:cstheme="majorBidi"/>
          <w:lang w:val="en-US"/>
        </w:rPr>
        <w:t>2020</w:t>
      </w:r>
      <w:r w:rsidR="00BC434D" w:rsidRPr="00BC434D">
        <w:rPr>
          <w:rFonts w:asciiTheme="majorBidi" w:hAnsiTheme="majorBidi" w:cstheme="majorBidi"/>
          <w:lang w:val="en-US"/>
        </w:rPr>
        <w:t>,</w:t>
      </w:r>
      <w:r w:rsidR="00FC1C2B" w:rsidRPr="00BC434D">
        <w:rPr>
          <w:rFonts w:asciiTheme="majorBidi" w:hAnsiTheme="majorBidi" w:cstheme="majorBidi"/>
          <w:lang w:val="en-US"/>
        </w:rPr>
        <w:t xml:space="preserve"> </w:t>
      </w:r>
      <w:r w:rsidR="00050B17" w:rsidRPr="00BC434D">
        <w:rPr>
          <w:rFonts w:asciiTheme="majorBidi" w:hAnsiTheme="majorBidi" w:cstheme="majorBidi"/>
          <w:i/>
          <w:iCs/>
          <w:lang w:val="en-US"/>
        </w:rPr>
        <w:t>Supra n</w:t>
      </w:r>
      <w:r w:rsidR="00970A6C" w:rsidRPr="00BC434D">
        <w:rPr>
          <w:rFonts w:asciiTheme="majorBidi" w:hAnsiTheme="majorBidi" w:cstheme="majorBidi"/>
          <w:i/>
          <w:iCs/>
          <w:lang w:val="en-US"/>
        </w:rPr>
        <w:t>ota</w:t>
      </w:r>
      <w:r w:rsidR="00970A6C" w:rsidRPr="00BC434D">
        <w:rPr>
          <w:rFonts w:asciiTheme="majorBidi" w:hAnsiTheme="majorBidi" w:cstheme="majorBidi"/>
          <w:lang w:val="en-US"/>
        </w:rPr>
        <w:t xml:space="preserve">, </w:t>
      </w:r>
      <w:r w:rsidR="00BC434D" w:rsidRPr="00BC434D">
        <w:rPr>
          <w:rFonts w:asciiTheme="majorBidi" w:hAnsiTheme="majorBidi" w:cstheme="majorBidi"/>
          <w:lang w:val="en-US"/>
        </w:rPr>
        <w:t xml:space="preserve">p. </w:t>
      </w:r>
      <w:r w:rsidR="00970A6C" w:rsidRPr="00BC434D">
        <w:rPr>
          <w:rFonts w:asciiTheme="majorBidi" w:hAnsiTheme="majorBidi" w:cstheme="majorBidi"/>
          <w:lang w:val="en-US"/>
        </w:rPr>
        <w:t>238.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BF9"/>
    <w:multiLevelType w:val="multilevel"/>
    <w:tmpl w:val="CAF0E2E8"/>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C00107C"/>
    <w:multiLevelType w:val="hybridMultilevel"/>
    <w:tmpl w:val="EB12A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75F99"/>
    <w:multiLevelType w:val="hybridMultilevel"/>
    <w:tmpl w:val="BEA081C6"/>
    <w:lvl w:ilvl="0" w:tplc="C42EBEF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809FA"/>
    <w:multiLevelType w:val="hybridMultilevel"/>
    <w:tmpl w:val="F2960328"/>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4" w15:restartNumberingAfterBreak="0">
    <w:nsid w:val="1595395A"/>
    <w:multiLevelType w:val="hybridMultilevel"/>
    <w:tmpl w:val="BC00D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42E56"/>
    <w:multiLevelType w:val="multilevel"/>
    <w:tmpl w:val="5F48DD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D62BED"/>
    <w:multiLevelType w:val="hybridMultilevel"/>
    <w:tmpl w:val="C5644738"/>
    <w:lvl w:ilvl="0" w:tplc="86FE43A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FF41D23"/>
    <w:multiLevelType w:val="multilevel"/>
    <w:tmpl w:val="E36C4DF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62D5402"/>
    <w:multiLevelType w:val="hybridMultilevel"/>
    <w:tmpl w:val="3F5E68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D3313"/>
    <w:multiLevelType w:val="hybridMultilevel"/>
    <w:tmpl w:val="03B6A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E7070"/>
    <w:multiLevelType w:val="hybridMultilevel"/>
    <w:tmpl w:val="8CF29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D14B7"/>
    <w:multiLevelType w:val="hybridMultilevel"/>
    <w:tmpl w:val="987AFAC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B2B14"/>
    <w:multiLevelType w:val="hybridMultilevel"/>
    <w:tmpl w:val="6B68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03875"/>
    <w:multiLevelType w:val="multilevel"/>
    <w:tmpl w:val="352899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56E23C7"/>
    <w:multiLevelType w:val="multilevel"/>
    <w:tmpl w:val="6D62C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C957ED8"/>
    <w:multiLevelType w:val="hybridMultilevel"/>
    <w:tmpl w:val="88302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91EB2"/>
    <w:multiLevelType w:val="hybridMultilevel"/>
    <w:tmpl w:val="1A92B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8357C3"/>
    <w:multiLevelType w:val="hybridMultilevel"/>
    <w:tmpl w:val="B58A01AC"/>
    <w:lvl w:ilvl="0" w:tplc="1DB62D7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1F0C53"/>
    <w:multiLevelType w:val="hybridMultilevel"/>
    <w:tmpl w:val="4D1ED42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3726860">
    <w:abstractNumId w:val="6"/>
  </w:num>
  <w:num w:numId="2" w16cid:durableId="1062632032">
    <w:abstractNumId w:val="16"/>
  </w:num>
  <w:num w:numId="3" w16cid:durableId="646789304">
    <w:abstractNumId w:val="5"/>
  </w:num>
  <w:num w:numId="4" w16cid:durableId="1145393831">
    <w:abstractNumId w:val="3"/>
  </w:num>
  <w:num w:numId="5" w16cid:durableId="1635717232">
    <w:abstractNumId w:val="4"/>
  </w:num>
  <w:num w:numId="6" w16cid:durableId="204029832">
    <w:abstractNumId w:val="9"/>
  </w:num>
  <w:num w:numId="7" w16cid:durableId="1059475209">
    <w:abstractNumId w:val="10"/>
  </w:num>
  <w:num w:numId="8" w16cid:durableId="181020537">
    <w:abstractNumId w:val="1"/>
  </w:num>
  <w:num w:numId="9" w16cid:durableId="2036542808">
    <w:abstractNumId w:val="12"/>
  </w:num>
  <w:num w:numId="10" w16cid:durableId="2015641838">
    <w:abstractNumId w:val="0"/>
  </w:num>
  <w:num w:numId="11" w16cid:durableId="200290828">
    <w:abstractNumId w:val="7"/>
  </w:num>
  <w:num w:numId="12" w16cid:durableId="1462841680">
    <w:abstractNumId w:val="17"/>
  </w:num>
  <w:num w:numId="13" w16cid:durableId="530261707">
    <w:abstractNumId w:val="2"/>
  </w:num>
  <w:num w:numId="14" w16cid:durableId="626353069">
    <w:abstractNumId w:val="8"/>
  </w:num>
  <w:num w:numId="15" w16cid:durableId="2099403736">
    <w:abstractNumId w:val="18"/>
  </w:num>
  <w:num w:numId="16" w16cid:durableId="1842619295">
    <w:abstractNumId w:val="11"/>
  </w:num>
  <w:num w:numId="17" w16cid:durableId="828906702">
    <w:abstractNumId w:val="13"/>
  </w:num>
  <w:num w:numId="18" w16cid:durableId="897278602">
    <w:abstractNumId w:val="14"/>
  </w:num>
  <w:num w:numId="19" w16cid:durableId="96423999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i Simion">
    <w15:presenceInfo w15:providerId="Windows Live" w15:userId="2b544dcfe083d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wNDA1MjezNLe0MDZT0lEKTi0uzszPAykwrAUAAG2KkCwAAAA="/>
  </w:docVars>
  <w:rsids>
    <w:rsidRoot w:val="002E26F4"/>
    <w:rsid w:val="00000B56"/>
    <w:rsid w:val="00000D57"/>
    <w:rsid w:val="00001FF5"/>
    <w:rsid w:val="00002BC9"/>
    <w:rsid w:val="00003213"/>
    <w:rsid w:val="00003AA3"/>
    <w:rsid w:val="000048B6"/>
    <w:rsid w:val="00005374"/>
    <w:rsid w:val="0000689B"/>
    <w:rsid w:val="0001051F"/>
    <w:rsid w:val="00011B01"/>
    <w:rsid w:val="00013764"/>
    <w:rsid w:val="000145C4"/>
    <w:rsid w:val="0001501F"/>
    <w:rsid w:val="00016319"/>
    <w:rsid w:val="00020006"/>
    <w:rsid w:val="00023532"/>
    <w:rsid w:val="00024161"/>
    <w:rsid w:val="00024328"/>
    <w:rsid w:val="0002522B"/>
    <w:rsid w:val="000254C0"/>
    <w:rsid w:val="000265F8"/>
    <w:rsid w:val="000300EF"/>
    <w:rsid w:val="000307FB"/>
    <w:rsid w:val="00031F00"/>
    <w:rsid w:val="00032932"/>
    <w:rsid w:val="00033282"/>
    <w:rsid w:val="0003380A"/>
    <w:rsid w:val="00036941"/>
    <w:rsid w:val="00037D0A"/>
    <w:rsid w:val="00037E37"/>
    <w:rsid w:val="000426AF"/>
    <w:rsid w:val="00043304"/>
    <w:rsid w:val="00044935"/>
    <w:rsid w:val="00047A4A"/>
    <w:rsid w:val="00050B17"/>
    <w:rsid w:val="00051359"/>
    <w:rsid w:val="000530C6"/>
    <w:rsid w:val="00053333"/>
    <w:rsid w:val="00053C0E"/>
    <w:rsid w:val="00054AD7"/>
    <w:rsid w:val="00055D34"/>
    <w:rsid w:val="000561A7"/>
    <w:rsid w:val="00061765"/>
    <w:rsid w:val="00062BFA"/>
    <w:rsid w:val="00063C41"/>
    <w:rsid w:val="00064496"/>
    <w:rsid w:val="000656AC"/>
    <w:rsid w:val="0006579D"/>
    <w:rsid w:val="00066E6C"/>
    <w:rsid w:val="000702DE"/>
    <w:rsid w:val="00071354"/>
    <w:rsid w:val="00071B1C"/>
    <w:rsid w:val="00071F47"/>
    <w:rsid w:val="00072EB9"/>
    <w:rsid w:val="000732AF"/>
    <w:rsid w:val="0007359F"/>
    <w:rsid w:val="00074802"/>
    <w:rsid w:val="00075E31"/>
    <w:rsid w:val="0008167F"/>
    <w:rsid w:val="00083546"/>
    <w:rsid w:val="00084728"/>
    <w:rsid w:val="000852E8"/>
    <w:rsid w:val="000872C3"/>
    <w:rsid w:val="00092D81"/>
    <w:rsid w:val="00092FE8"/>
    <w:rsid w:val="000942F9"/>
    <w:rsid w:val="00094FEA"/>
    <w:rsid w:val="00096777"/>
    <w:rsid w:val="00096A04"/>
    <w:rsid w:val="000A15B3"/>
    <w:rsid w:val="000A3FF2"/>
    <w:rsid w:val="000A4096"/>
    <w:rsid w:val="000A4E7C"/>
    <w:rsid w:val="000A7C82"/>
    <w:rsid w:val="000B10E5"/>
    <w:rsid w:val="000B17CE"/>
    <w:rsid w:val="000B3BAC"/>
    <w:rsid w:val="000B5762"/>
    <w:rsid w:val="000B6032"/>
    <w:rsid w:val="000C3136"/>
    <w:rsid w:val="000C4FC7"/>
    <w:rsid w:val="000C6ECC"/>
    <w:rsid w:val="000D1268"/>
    <w:rsid w:val="000D2CA9"/>
    <w:rsid w:val="000D58DC"/>
    <w:rsid w:val="000D6CE1"/>
    <w:rsid w:val="000D6E7F"/>
    <w:rsid w:val="000D7EDD"/>
    <w:rsid w:val="000E2BD8"/>
    <w:rsid w:val="000E362A"/>
    <w:rsid w:val="000E366E"/>
    <w:rsid w:val="000E634C"/>
    <w:rsid w:val="000F1FB5"/>
    <w:rsid w:val="000F2022"/>
    <w:rsid w:val="000F7DA6"/>
    <w:rsid w:val="001002E6"/>
    <w:rsid w:val="00100804"/>
    <w:rsid w:val="001009BA"/>
    <w:rsid w:val="00101931"/>
    <w:rsid w:val="00102228"/>
    <w:rsid w:val="001041D1"/>
    <w:rsid w:val="001052B6"/>
    <w:rsid w:val="00110D65"/>
    <w:rsid w:val="00113B59"/>
    <w:rsid w:val="00114E92"/>
    <w:rsid w:val="00115F47"/>
    <w:rsid w:val="00115FF7"/>
    <w:rsid w:val="00116FCE"/>
    <w:rsid w:val="00121BF2"/>
    <w:rsid w:val="0012282F"/>
    <w:rsid w:val="001248B7"/>
    <w:rsid w:val="0012500C"/>
    <w:rsid w:val="001255FB"/>
    <w:rsid w:val="001267DA"/>
    <w:rsid w:val="00130576"/>
    <w:rsid w:val="001316AD"/>
    <w:rsid w:val="0013197D"/>
    <w:rsid w:val="00136949"/>
    <w:rsid w:val="00142119"/>
    <w:rsid w:val="001422FA"/>
    <w:rsid w:val="00142745"/>
    <w:rsid w:val="00142AC0"/>
    <w:rsid w:val="00142D3C"/>
    <w:rsid w:val="001432EE"/>
    <w:rsid w:val="0014471E"/>
    <w:rsid w:val="0014515D"/>
    <w:rsid w:val="00146ADB"/>
    <w:rsid w:val="00147728"/>
    <w:rsid w:val="00151A9A"/>
    <w:rsid w:val="00152D8F"/>
    <w:rsid w:val="00155BAD"/>
    <w:rsid w:val="00157649"/>
    <w:rsid w:val="00160362"/>
    <w:rsid w:val="00166C2E"/>
    <w:rsid w:val="00166FB1"/>
    <w:rsid w:val="00167B95"/>
    <w:rsid w:val="001704D3"/>
    <w:rsid w:val="001717DA"/>
    <w:rsid w:val="0018154C"/>
    <w:rsid w:val="001835BE"/>
    <w:rsid w:val="00187D91"/>
    <w:rsid w:val="00191896"/>
    <w:rsid w:val="00193247"/>
    <w:rsid w:val="0019356F"/>
    <w:rsid w:val="00193D8A"/>
    <w:rsid w:val="001951A2"/>
    <w:rsid w:val="0019769E"/>
    <w:rsid w:val="001976DA"/>
    <w:rsid w:val="001A02A0"/>
    <w:rsid w:val="001A1B7D"/>
    <w:rsid w:val="001A4A1F"/>
    <w:rsid w:val="001A71DD"/>
    <w:rsid w:val="001A7427"/>
    <w:rsid w:val="001B05B6"/>
    <w:rsid w:val="001B0A36"/>
    <w:rsid w:val="001B10AE"/>
    <w:rsid w:val="001B44F9"/>
    <w:rsid w:val="001B48B7"/>
    <w:rsid w:val="001B6456"/>
    <w:rsid w:val="001C1F95"/>
    <w:rsid w:val="001C2406"/>
    <w:rsid w:val="001C6E8B"/>
    <w:rsid w:val="001D05E0"/>
    <w:rsid w:val="001D080B"/>
    <w:rsid w:val="001D3E7E"/>
    <w:rsid w:val="001D43C1"/>
    <w:rsid w:val="001D4EC6"/>
    <w:rsid w:val="001E28BF"/>
    <w:rsid w:val="001E3029"/>
    <w:rsid w:val="001E34D8"/>
    <w:rsid w:val="001E56B3"/>
    <w:rsid w:val="001F01EC"/>
    <w:rsid w:val="001F6059"/>
    <w:rsid w:val="001F69F7"/>
    <w:rsid w:val="001F72ED"/>
    <w:rsid w:val="001F79B6"/>
    <w:rsid w:val="00205A04"/>
    <w:rsid w:val="00206080"/>
    <w:rsid w:val="00206859"/>
    <w:rsid w:val="0020754F"/>
    <w:rsid w:val="0021110F"/>
    <w:rsid w:val="00212231"/>
    <w:rsid w:val="00212C05"/>
    <w:rsid w:val="00216168"/>
    <w:rsid w:val="00220453"/>
    <w:rsid w:val="00221432"/>
    <w:rsid w:val="00221518"/>
    <w:rsid w:val="002234C0"/>
    <w:rsid w:val="00223922"/>
    <w:rsid w:val="00224432"/>
    <w:rsid w:val="00226599"/>
    <w:rsid w:val="002274FF"/>
    <w:rsid w:val="00232C6F"/>
    <w:rsid w:val="00234D07"/>
    <w:rsid w:val="00235026"/>
    <w:rsid w:val="00236554"/>
    <w:rsid w:val="00236FAA"/>
    <w:rsid w:val="002377DA"/>
    <w:rsid w:val="00237B43"/>
    <w:rsid w:val="00243990"/>
    <w:rsid w:val="002464B4"/>
    <w:rsid w:val="00246FA4"/>
    <w:rsid w:val="00251852"/>
    <w:rsid w:val="002522E7"/>
    <w:rsid w:val="00253DC1"/>
    <w:rsid w:val="002573C2"/>
    <w:rsid w:val="00257F56"/>
    <w:rsid w:val="00257F63"/>
    <w:rsid w:val="00263A00"/>
    <w:rsid w:val="00264C8E"/>
    <w:rsid w:val="00267011"/>
    <w:rsid w:val="00271B2A"/>
    <w:rsid w:val="00274A36"/>
    <w:rsid w:val="00276D1E"/>
    <w:rsid w:val="002821BE"/>
    <w:rsid w:val="002855F9"/>
    <w:rsid w:val="00285FA5"/>
    <w:rsid w:val="002870B3"/>
    <w:rsid w:val="00287BD1"/>
    <w:rsid w:val="00291164"/>
    <w:rsid w:val="00292605"/>
    <w:rsid w:val="00292A95"/>
    <w:rsid w:val="002951A0"/>
    <w:rsid w:val="0029532C"/>
    <w:rsid w:val="00296005"/>
    <w:rsid w:val="002968DE"/>
    <w:rsid w:val="00296C4D"/>
    <w:rsid w:val="002A14E1"/>
    <w:rsid w:val="002A39C4"/>
    <w:rsid w:val="002A65CA"/>
    <w:rsid w:val="002B498D"/>
    <w:rsid w:val="002B56E5"/>
    <w:rsid w:val="002B7575"/>
    <w:rsid w:val="002C1AF6"/>
    <w:rsid w:val="002C35CC"/>
    <w:rsid w:val="002C3C2D"/>
    <w:rsid w:val="002C4416"/>
    <w:rsid w:val="002C622A"/>
    <w:rsid w:val="002D0231"/>
    <w:rsid w:val="002D0327"/>
    <w:rsid w:val="002D15C0"/>
    <w:rsid w:val="002D2CB0"/>
    <w:rsid w:val="002D4B87"/>
    <w:rsid w:val="002D4FEA"/>
    <w:rsid w:val="002D513C"/>
    <w:rsid w:val="002D5FA8"/>
    <w:rsid w:val="002D6B38"/>
    <w:rsid w:val="002D6BCB"/>
    <w:rsid w:val="002E173E"/>
    <w:rsid w:val="002E1839"/>
    <w:rsid w:val="002E26F4"/>
    <w:rsid w:val="002E6282"/>
    <w:rsid w:val="002F6377"/>
    <w:rsid w:val="002F7B0C"/>
    <w:rsid w:val="0030083C"/>
    <w:rsid w:val="00301472"/>
    <w:rsid w:val="0030236F"/>
    <w:rsid w:val="00302CAC"/>
    <w:rsid w:val="00311583"/>
    <w:rsid w:val="003163E5"/>
    <w:rsid w:val="00317482"/>
    <w:rsid w:val="00320824"/>
    <w:rsid w:val="00323F64"/>
    <w:rsid w:val="00325777"/>
    <w:rsid w:val="00325DFB"/>
    <w:rsid w:val="003264FC"/>
    <w:rsid w:val="00326994"/>
    <w:rsid w:val="00332A21"/>
    <w:rsid w:val="00335F70"/>
    <w:rsid w:val="00337336"/>
    <w:rsid w:val="0034066C"/>
    <w:rsid w:val="00342D6B"/>
    <w:rsid w:val="00343CAB"/>
    <w:rsid w:val="00343F83"/>
    <w:rsid w:val="00346555"/>
    <w:rsid w:val="00346592"/>
    <w:rsid w:val="003476A8"/>
    <w:rsid w:val="00350497"/>
    <w:rsid w:val="00351DC4"/>
    <w:rsid w:val="003529C4"/>
    <w:rsid w:val="00354313"/>
    <w:rsid w:val="00356912"/>
    <w:rsid w:val="00357F23"/>
    <w:rsid w:val="00361CF9"/>
    <w:rsid w:val="00362C1D"/>
    <w:rsid w:val="003665D3"/>
    <w:rsid w:val="003677AA"/>
    <w:rsid w:val="0037258A"/>
    <w:rsid w:val="0037571D"/>
    <w:rsid w:val="00376679"/>
    <w:rsid w:val="0037751B"/>
    <w:rsid w:val="00377A32"/>
    <w:rsid w:val="00380DBF"/>
    <w:rsid w:val="0038179C"/>
    <w:rsid w:val="00383402"/>
    <w:rsid w:val="00386D40"/>
    <w:rsid w:val="0039042A"/>
    <w:rsid w:val="0039053A"/>
    <w:rsid w:val="00391445"/>
    <w:rsid w:val="00392717"/>
    <w:rsid w:val="00396C16"/>
    <w:rsid w:val="003A0E78"/>
    <w:rsid w:val="003A14FE"/>
    <w:rsid w:val="003A1511"/>
    <w:rsid w:val="003A1A38"/>
    <w:rsid w:val="003A2060"/>
    <w:rsid w:val="003A25F7"/>
    <w:rsid w:val="003A417B"/>
    <w:rsid w:val="003A5779"/>
    <w:rsid w:val="003A7463"/>
    <w:rsid w:val="003B1D47"/>
    <w:rsid w:val="003B34F7"/>
    <w:rsid w:val="003B3551"/>
    <w:rsid w:val="003B4884"/>
    <w:rsid w:val="003B626F"/>
    <w:rsid w:val="003B6550"/>
    <w:rsid w:val="003B7C41"/>
    <w:rsid w:val="003C34C1"/>
    <w:rsid w:val="003C3E18"/>
    <w:rsid w:val="003C4DDC"/>
    <w:rsid w:val="003C7064"/>
    <w:rsid w:val="003C78CB"/>
    <w:rsid w:val="003C78E4"/>
    <w:rsid w:val="003D1620"/>
    <w:rsid w:val="003D4A55"/>
    <w:rsid w:val="003E1B06"/>
    <w:rsid w:val="003E28B0"/>
    <w:rsid w:val="003E39E9"/>
    <w:rsid w:val="003E5153"/>
    <w:rsid w:val="003E5589"/>
    <w:rsid w:val="003E6BA1"/>
    <w:rsid w:val="003F0802"/>
    <w:rsid w:val="003F09C7"/>
    <w:rsid w:val="003F0B6A"/>
    <w:rsid w:val="003F0C4F"/>
    <w:rsid w:val="003F4776"/>
    <w:rsid w:val="003F7CBD"/>
    <w:rsid w:val="004002E6"/>
    <w:rsid w:val="004004C1"/>
    <w:rsid w:val="00402481"/>
    <w:rsid w:val="00402710"/>
    <w:rsid w:val="00402D4F"/>
    <w:rsid w:val="00403569"/>
    <w:rsid w:val="00407751"/>
    <w:rsid w:val="00411E34"/>
    <w:rsid w:val="00413CF2"/>
    <w:rsid w:val="00415704"/>
    <w:rsid w:val="0041591E"/>
    <w:rsid w:val="00416CD4"/>
    <w:rsid w:val="0041796F"/>
    <w:rsid w:val="00420412"/>
    <w:rsid w:val="00420BF8"/>
    <w:rsid w:val="00421FBA"/>
    <w:rsid w:val="004238BC"/>
    <w:rsid w:val="00426AEE"/>
    <w:rsid w:val="00427DCD"/>
    <w:rsid w:val="00432EB2"/>
    <w:rsid w:val="00432FB0"/>
    <w:rsid w:val="004334DB"/>
    <w:rsid w:val="004342B4"/>
    <w:rsid w:val="00434564"/>
    <w:rsid w:val="004349E9"/>
    <w:rsid w:val="0044093F"/>
    <w:rsid w:val="00443547"/>
    <w:rsid w:val="00445E0A"/>
    <w:rsid w:val="00446E48"/>
    <w:rsid w:val="00447212"/>
    <w:rsid w:val="00447F3C"/>
    <w:rsid w:val="00447F9C"/>
    <w:rsid w:val="00451F12"/>
    <w:rsid w:val="00452CED"/>
    <w:rsid w:val="004573D2"/>
    <w:rsid w:val="00461CF5"/>
    <w:rsid w:val="0046271C"/>
    <w:rsid w:val="00464E91"/>
    <w:rsid w:val="00466975"/>
    <w:rsid w:val="0047202B"/>
    <w:rsid w:val="0047280D"/>
    <w:rsid w:val="00473F09"/>
    <w:rsid w:val="00474A2C"/>
    <w:rsid w:val="00480B76"/>
    <w:rsid w:val="00484229"/>
    <w:rsid w:val="00487768"/>
    <w:rsid w:val="004901DE"/>
    <w:rsid w:val="004904B9"/>
    <w:rsid w:val="004906EA"/>
    <w:rsid w:val="00491C85"/>
    <w:rsid w:val="00494B98"/>
    <w:rsid w:val="004954F6"/>
    <w:rsid w:val="00497B1C"/>
    <w:rsid w:val="004A0445"/>
    <w:rsid w:val="004A12B2"/>
    <w:rsid w:val="004A1431"/>
    <w:rsid w:val="004A30C0"/>
    <w:rsid w:val="004A4F2F"/>
    <w:rsid w:val="004A65D5"/>
    <w:rsid w:val="004B00AB"/>
    <w:rsid w:val="004B08AB"/>
    <w:rsid w:val="004B0FA8"/>
    <w:rsid w:val="004B1DEE"/>
    <w:rsid w:val="004B2694"/>
    <w:rsid w:val="004B39EF"/>
    <w:rsid w:val="004B6D1C"/>
    <w:rsid w:val="004C2CAF"/>
    <w:rsid w:val="004C44D5"/>
    <w:rsid w:val="004C679B"/>
    <w:rsid w:val="004C7000"/>
    <w:rsid w:val="004C7366"/>
    <w:rsid w:val="004C74C0"/>
    <w:rsid w:val="004D011A"/>
    <w:rsid w:val="004D18AF"/>
    <w:rsid w:val="004D2436"/>
    <w:rsid w:val="004D361B"/>
    <w:rsid w:val="004D3FA3"/>
    <w:rsid w:val="004D45E8"/>
    <w:rsid w:val="004D4A02"/>
    <w:rsid w:val="004D6B70"/>
    <w:rsid w:val="004D6F6F"/>
    <w:rsid w:val="004E0D59"/>
    <w:rsid w:val="004E11F9"/>
    <w:rsid w:val="004E34B3"/>
    <w:rsid w:val="004E5D8F"/>
    <w:rsid w:val="004F04DC"/>
    <w:rsid w:val="004F06BB"/>
    <w:rsid w:val="004F18DE"/>
    <w:rsid w:val="004F60D2"/>
    <w:rsid w:val="004F714F"/>
    <w:rsid w:val="004F7350"/>
    <w:rsid w:val="005003B0"/>
    <w:rsid w:val="00500408"/>
    <w:rsid w:val="00500D92"/>
    <w:rsid w:val="005015D4"/>
    <w:rsid w:val="00504E56"/>
    <w:rsid w:val="00506FC2"/>
    <w:rsid w:val="00510BAE"/>
    <w:rsid w:val="00511C7D"/>
    <w:rsid w:val="00513403"/>
    <w:rsid w:val="00515C7E"/>
    <w:rsid w:val="005177D8"/>
    <w:rsid w:val="00517F98"/>
    <w:rsid w:val="00524C73"/>
    <w:rsid w:val="0052780D"/>
    <w:rsid w:val="00531C8E"/>
    <w:rsid w:val="00532CCD"/>
    <w:rsid w:val="00540DDA"/>
    <w:rsid w:val="00541742"/>
    <w:rsid w:val="00541D58"/>
    <w:rsid w:val="0054392F"/>
    <w:rsid w:val="00544647"/>
    <w:rsid w:val="005466D4"/>
    <w:rsid w:val="0055202D"/>
    <w:rsid w:val="005530CA"/>
    <w:rsid w:val="005531E3"/>
    <w:rsid w:val="0055407C"/>
    <w:rsid w:val="00555985"/>
    <w:rsid w:val="00555A42"/>
    <w:rsid w:val="00557376"/>
    <w:rsid w:val="005577D9"/>
    <w:rsid w:val="00561035"/>
    <w:rsid w:val="00561132"/>
    <w:rsid w:val="0056254E"/>
    <w:rsid w:val="0056291B"/>
    <w:rsid w:val="00562BA0"/>
    <w:rsid w:val="005643DE"/>
    <w:rsid w:val="0056667C"/>
    <w:rsid w:val="00570294"/>
    <w:rsid w:val="005713F8"/>
    <w:rsid w:val="00571941"/>
    <w:rsid w:val="0057237C"/>
    <w:rsid w:val="0057586A"/>
    <w:rsid w:val="00580D38"/>
    <w:rsid w:val="00583D19"/>
    <w:rsid w:val="00583F24"/>
    <w:rsid w:val="00587D3E"/>
    <w:rsid w:val="00592E59"/>
    <w:rsid w:val="00592F5F"/>
    <w:rsid w:val="005953DC"/>
    <w:rsid w:val="005A27B9"/>
    <w:rsid w:val="005A380E"/>
    <w:rsid w:val="005A3B14"/>
    <w:rsid w:val="005A49AB"/>
    <w:rsid w:val="005B22F5"/>
    <w:rsid w:val="005B3AFA"/>
    <w:rsid w:val="005B40FB"/>
    <w:rsid w:val="005C3FB8"/>
    <w:rsid w:val="005C423F"/>
    <w:rsid w:val="005C4659"/>
    <w:rsid w:val="005C4CDC"/>
    <w:rsid w:val="005C7CF6"/>
    <w:rsid w:val="005D4511"/>
    <w:rsid w:val="005D4670"/>
    <w:rsid w:val="005D47EE"/>
    <w:rsid w:val="005D57E3"/>
    <w:rsid w:val="005E439D"/>
    <w:rsid w:val="005E4B2B"/>
    <w:rsid w:val="005E5679"/>
    <w:rsid w:val="005F20D6"/>
    <w:rsid w:val="005F2EA8"/>
    <w:rsid w:val="005F3D6D"/>
    <w:rsid w:val="005F44E2"/>
    <w:rsid w:val="005F464E"/>
    <w:rsid w:val="005F768D"/>
    <w:rsid w:val="00600AF8"/>
    <w:rsid w:val="00603474"/>
    <w:rsid w:val="00603737"/>
    <w:rsid w:val="00613FFB"/>
    <w:rsid w:val="00614E98"/>
    <w:rsid w:val="00615EED"/>
    <w:rsid w:val="00617749"/>
    <w:rsid w:val="00622F9C"/>
    <w:rsid w:val="006302F2"/>
    <w:rsid w:val="00634A3B"/>
    <w:rsid w:val="00635A7E"/>
    <w:rsid w:val="00635B2C"/>
    <w:rsid w:val="006365FD"/>
    <w:rsid w:val="00637EB7"/>
    <w:rsid w:val="00641E23"/>
    <w:rsid w:val="006503EE"/>
    <w:rsid w:val="00650C8B"/>
    <w:rsid w:val="00652635"/>
    <w:rsid w:val="0065430F"/>
    <w:rsid w:val="00657BA6"/>
    <w:rsid w:val="00660E0E"/>
    <w:rsid w:val="00661917"/>
    <w:rsid w:val="00663DD5"/>
    <w:rsid w:val="006642D9"/>
    <w:rsid w:val="0066754E"/>
    <w:rsid w:val="0066755A"/>
    <w:rsid w:val="00667DE4"/>
    <w:rsid w:val="0067002A"/>
    <w:rsid w:val="00670CDD"/>
    <w:rsid w:val="00672F83"/>
    <w:rsid w:val="00680E36"/>
    <w:rsid w:val="00683575"/>
    <w:rsid w:val="00687040"/>
    <w:rsid w:val="00690D94"/>
    <w:rsid w:val="00692210"/>
    <w:rsid w:val="00692A18"/>
    <w:rsid w:val="00696588"/>
    <w:rsid w:val="00697F66"/>
    <w:rsid w:val="006A0C45"/>
    <w:rsid w:val="006A1F7C"/>
    <w:rsid w:val="006A1FCC"/>
    <w:rsid w:val="006A2351"/>
    <w:rsid w:val="006A2874"/>
    <w:rsid w:val="006A2BD0"/>
    <w:rsid w:val="006A3235"/>
    <w:rsid w:val="006A48A0"/>
    <w:rsid w:val="006A5AB7"/>
    <w:rsid w:val="006B122B"/>
    <w:rsid w:val="006B2450"/>
    <w:rsid w:val="006B321C"/>
    <w:rsid w:val="006B6F34"/>
    <w:rsid w:val="006C0660"/>
    <w:rsid w:val="006C0F12"/>
    <w:rsid w:val="006C12A8"/>
    <w:rsid w:val="006C3320"/>
    <w:rsid w:val="006C6764"/>
    <w:rsid w:val="006C6892"/>
    <w:rsid w:val="006D05D8"/>
    <w:rsid w:val="006D22EE"/>
    <w:rsid w:val="006D347D"/>
    <w:rsid w:val="006E2707"/>
    <w:rsid w:val="006E5586"/>
    <w:rsid w:val="006E5D76"/>
    <w:rsid w:val="006F0574"/>
    <w:rsid w:val="006F1240"/>
    <w:rsid w:val="006F3444"/>
    <w:rsid w:val="006F5BC1"/>
    <w:rsid w:val="006F5D15"/>
    <w:rsid w:val="006F5D59"/>
    <w:rsid w:val="006F748A"/>
    <w:rsid w:val="00700888"/>
    <w:rsid w:val="0070286B"/>
    <w:rsid w:val="0070343C"/>
    <w:rsid w:val="0070412A"/>
    <w:rsid w:val="00704FE0"/>
    <w:rsid w:val="00706566"/>
    <w:rsid w:val="00707846"/>
    <w:rsid w:val="00710B4B"/>
    <w:rsid w:val="00711372"/>
    <w:rsid w:val="00712062"/>
    <w:rsid w:val="00713112"/>
    <w:rsid w:val="007135E8"/>
    <w:rsid w:val="00713C89"/>
    <w:rsid w:val="00715077"/>
    <w:rsid w:val="0071519D"/>
    <w:rsid w:val="00715745"/>
    <w:rsid w:val="00716C22"/>
    <w:rsid w:val="00717442"/>
    <w:rsid w:val="00720470"/>
    <w:rsid w:val="007207A8"/>
    <w:rsid w:val="007233C9"/>
    <w:rsid w:val="00723D32"/>
    <w:rsid w:val="0072730F"/>
    <w:rsid w:val="00727BE9"/>
    <w:rsid w:val="00727EC5"/>
    <w:rsid w:val="007314F0"/>
    <w:rsid w:val="00732BD4"/>
    <w:rsid w:val="00732F59"/>
    <w:rsid w:val="007331D9"/>
    <w:rsid w:val="00733C20"/>
    <w:rsid w:val="0073558D"/>
    <w:rsid w:val="00735BE3"/>
    <w:rsid w:val="00737E31"/>
    <w:rsid w:val="0074052F"/>
    <w:rsid w:val="00742E20"/>
    <w:rsid w:val="00743459"/>
    <w:rsid w:val="00744039"/>
    <w:rsid w:val="00744072"/>
    <w:rsid w:val="007468AF"/>
    <w:rsid w:val="0075104B"/>
    <w:rsid w:val="00756557"/>
    <w:rsid w:val="007565D4"/>
    <w:rsid w:val="00756E61"/>
    <w:rsid w:val="00757191"/>
    <w:rsid w:val="007613BC"/>
    <w:rsid w:val="0076150B"/>
    <w:rsid w:val="00763E6C"/>
    <w:rsid w:val="00764C00"/>
    <w:rsid w:val="00764FCB"/>
    <w:rsid w:val="00766459"/>
    <w:rsid w:val="0076738D"/>
    <w:rsid w:val="0077037E"/>
    <w:rsid w:val="007727F5"/>
    <w:rsid w:val="00781111"/>
    <w:rsid w:val="0078379C"/>
    <w:rsid w:val="007837E7"/>
    <w:rsid w:val="00784329"/>
    <w:rsid w:val="00784F5E"/>
    <w:rsid w:val="00785DCB"/>
    <w:rsid w:val="0078729D"/>
    <w:rsid w:val="00787CE0"/>
    <w:rsid w:val="0079319F"/>
    <w:rsid w:val="007A3E7F"/>
    <w:rsid w:val="007A4D69"/>
    <w:rsid w:val="007A6095"/>
    <w:rsid w:val="007A64A8"/>
    <w:rsid w:val="007A76D6"/>
    <w:rsid w:val="007A78B8"/>
    <w:rsid w:val="007B0ECC"/>
    <w:rsid w:val="007B3BCA"/>
    <w:rsid w:val="007B513C"/>
    <w:rsid w:val="007B5AF6"/>
    <w:rsid w:val="007B61E5"/>
    <w:rsid w:val="007C14F1"/>
    <w:rsid w:val="007C339F"/>
    <w:rsid w:val="007C4628"/>
    <w:rsid w:val="007C6088"/>
    <w:rsid w:val="007D0FE1"/>
    <w:rsid w:val="007D1480"/>
    <w:rsid w:val="007D1B60"/>
    <w:rsid w:val="007D2D13"/>
    <w:rsid w:val="007D3596"/>
    <w:rsid w:val="007D36D6"/>
    <w:rsid w:val="007D6C2E"/>
    <w:rsid w:val="007D6D44"/>
    <w:rsid w:val="007D7F3E"/>
    <w:rsid w:val="007E13D0"/>
    <w:rsid w:val="007E3694"/>
    <w:rsid w:val="007E44D3"/>
    <w:rsid w:val="007E7D1D"/>
    <w:rsid w:val="007F0FE3"/>
    <w:rsid w:val="007F16DC"/>
    <w:rsid w:val="007F657B"/>
    <w:rsid w:val="007F6FF8"/>
    <w:rsid w:val="007F7017"/>
    <w:rsid w:val="007F7DE8"/>
    <w:rsid w:val="00801149"/>
    <w:rsid w:val="00801421"/>
    <w:rsid w:val="00801E6B"/>
    <w:rsid w:val="00801F55"/>
    <w:rsid w:val="0080287A"/>
    <w:rsid w:val="00802978"/>
    <w:rsid w:val="00802BEB"/>
    <w:rsid w:val="00803266"/>
    <w:rsid w:val="008036B8"/>
    <w:rsid w:val="008045DD"/>
    <w:rsid w:val="008052B0"/>
    <w:rsid w:val="00810A99"/>
    <w:rsid w:val="00810E36"/>
    <w:rsid w:val="008168DD"/>
    <w:rsid w:val="008204F5"/>
    <w:rsid w:val="0082276A"/>
    <w:rsid w:val="00822ED2"/>
    <w:rsid w:val="008258D1"/>
    <w:rsid w:val="0082671A"/>
    <w:rsid w:val="00827EE1"/>
    <w:rsid w:val="008334DB"/>
    <w:rsid w:val="008347E0"/>
    <w:rsid w:val="00835605"/>
    <w:rsid w:val="00835994"/>
    <w:rsid w:val="008360A8"/>
    <w:rsid w:val="00844792"/>
    <w:rsid w:val="008501F7"/>
    <w:rsid w:val="0085060B"/>
    <w:rsid w:val="008509DF"/>
    <w:rsid w:val="008518E7"/>
    <w:rsid w:val="00854A2D"/>
    <w:rsid w:val="00856378"/>
    <w:rsid w:val="0086234C"/>
    <w:rsid w:val="00863284"/>
    <w:rsid w:val="00863F72"/>
    <w:rsid w:val="00864358"/>
    <w:rsid w:val="008652BA"/>
    <w:rsid w:val="008653F7"/>
    <w:rsid w:val="008718DD"/>
    <w:rsid w:val="00874003"/>
    <w:rsid w:val="00876ACA"/>
    <w:rsid w:val="00876B24"/>
    <w:rsid w:val="00880DFB"/>
    <w:rsid w:val="00880F47"/>
    <w:rsid w:val="00883174"/>
    <w:rsid w:val="00883F5E"/>
    <w:rsid w:val="0088476A"/>
    <w:rsid w:val="0088529E"/>
    <w:rsid w:val="008915AE"/>
    <w:rsid w:val="008930F2"/>
    <w:rsid w:val="00894CD9"/>
    <w:rsid w:val="008A0B22"/>
    <w:rsid w:val="008A236F"/>
    <w:rsid w:val="008A29A1"/>
    <w:rsid w:val="008A32CC"/>
    <w:rsid w:val="008A351A"/>
    <w:rsid w:val="008A4671"/>
    <w:rsid w:val="008A62C3"/>
    <w:rsid w:val="008A7AE3"/>
    <w:rsid w:val="008B007B"/>
    <w:rsid w:val="008B0205"/>
    <w:rsid w:val="008B0451"/>
    <w:rsid w:val="008B1CEF"/>
    <w:rsid w:val="008B7AB4"/>
    <w:rsid w:val="008C05F0"/>
    <w:rsid w:val="008C07FD"/>
    <w:rsid w:val="008C1390"/>
    <w:rsid w:val="008C13F3"/>
    <w:rsid w:val="008C2135"/>
    <w:rsid w:val="008C309B"/>
    <w:rsid w:val="008C6222"/>
    <w:rsid w:val="008C654B"/>
    <w:rsid w:val="008C654E"/>
    <w:rsid w:val="008C6640"/>
    <w:rsid w:val="008C7298"/>
    <w:rsid w:val="008D2CE9"/>
    <w:rsid w:val="008D4099"/>
    <w:rsid w:val="008D4F2C"/>
    <w:rsid w:val="008D74BF"/>
    <w:rsid w:val="008E013C"/>
    <w:rsid w:val="008E26DA"/>
    <w:rsid w:val="008E5BB6"/>
    <w:rsid w:val="008E6BA2"/>
    <w:rsid w:val="008E7F44"/>
    <w:rsid w:val="008F02FD"/>
    <w:rsid w:val="008F0D52"/>
    <w:rsid w:val="008F21E8"/>
    <w:rsid w:val="008F467B"/>
    <w:rsid w:val="008F660D"/>
    <w:rsid w:val="008F7B27"/>
    <w:rsid w:val="00901864"/>
    <w:rsid w:val="00901D0C"/>
    <w:rsid w:val="0090304A"/>
    <w:rsid w:val="00905B3F"/>
    <w:rsid w:val="00907F5B"/>
    <w:rsid w:val="009105CE"/>
    <w:rsid w:val="00910962"/>
    <w:rsid w:val="0091288E"/>
    <w:rsid w:val="0091306A"/>
    <w:rsid w:val="0091376F"/>
    <w:rsid w:val="0091450A"/>
    <w:rsid w:val="00914803"/>
    <w:rsid w:val="00915D54"/>
    <w:rsid w:val="009212BA"/>
    <w:rsid w:val="00924B03"/>
    <w:rsid w:val="00926694"/>
    <w:rsid w:val="0093052D"/>
    <w:rsid w:val="009340C9"/>
    <w:rsid w:val="00934925"/>
    <w:rsid w:val="00937379"/>
    <w:rsid w:val="0093738D"/>
    <w:rsid w:val="009416D0"/>
    <w:rsid w:val="00941FCE"/>
    <w:rsid w:val="00942A6B"/>
    <w:rsid w:val="00951726"/>
    <w:rsid w:val="0095422A"/>
    <w:rsid w:val="009546B9"/>
    <w:rsid w:val="009551EC"/>
    <w:rsid w:val="00962A34"/>
    <w:rsid w:val="00962E4F"/>
    <w:rsid w:val="00964583"/>
    <w:rsid w:val="00970300"/>
    <w:rsid w:val="00970A6C"/>
    <w:rsid w:val="00971761"/>
    <w:rsid w:val="00972350"/>
    <w:rsid w:val="0097465A"/>
    <w:rsid w:val="00974855"/>
    <w:rsid w:val="00975C0E"/>
    <w:rsid w:val="009806AA"/>
    <w:rsid w:val="009817FF"/>
    <w:rsid w:val="009867F6"/>
    <w:rsid w:val="00993526"/>
    <w:rsid w:val="00993549"/>
    <w:rsid w:val="009942F0"/>
    <w:rsid w:val="009944E1"/>
    <w:rsid w:val="009956FD"/>
    <w:rsid w:val="00997937"/>
    <w:rsid w:val="009A087F"/>
    <w:rsid w:val="009A0D8D"/>
    <w:rsid w:val="009A22A2"/>
    <w:rsid w:val="009A2F60"/>
    <w:rsid w:val="009A2F75"/>
    <w:rsid w:val="009A3CAA"/>
    <w:rsid w:val="009A79A0"/>
    <w:rsid w:val="009A7AAC"/>
    <w:rsid w:val="009B2DBA"/>
    <w:rsid w:val="009B2FF8"/>
    <w:rsid w:val="009B558D"/>
    <w:rsid w:val="009B662E"/>
    <w:rsid w:val="009B73E9"/>
    <w:rsid w:val="009B7FDC"/>
    <w:rsid w:val="009C0B0A"/>
    <w:rsid w:val="009C16F2"/>
    <w:rsid w:val="009C2090"/>
    <w:rsid w:val="009C2C81"/>
    <w:rsid w:val="009C32B0"/>
    <w:rsid w:val="009C41FE"/>
    <w:rsid w:val="009C7570"/>
    <w:rsid w:val="009D0706"/>
    <w:rsid w:val="009D0C63"/>
    <w:rsid w:val="009D156B"/>
    <w:rsid w:val="009D59B1"/>
    <w:rsid w:val="009D5BD1"/>
    <w:rsid w:val="009D68B9"/>
    <w:rsid w:val="009D7826"/>
    <w:rsid w:val="009D7A2D"/>
    <w:rsid w:val="009E0671"/>
    <w:rsid w:val="009E46E4"/>
    <w:rsid w:val="009E4971"/>
    <w:rsid w:val="009E67EB"/>
    <w:rsid w:val="009E74D2"/>
    <w:rsid w:val="009F0C61"/>
    <w:rsid w:val="009F0EB0"/>
    <w:rsid w:val="009F22AE"/>
    <w:rsid w:val="009F2435"/>
    <w:rsid w:val="009F33FC"/>
    <w:rsid w:val="009F4823"/>
    <w:rsid w:val="009F4FF7"/>
    <w:rsid w:val="009F7DF5"/>
    <w:rsid w:val="00A00DD0"/>
    <w:rsid w:val="00A0526A"/>
    <w:rsid w:val="00A06AA4"/>
    <w:rsid w:val="00A06AB2"/>
    <w:rsid w:val="00A06FA9"/>
    <w:rsid w:val="00A11537"/>
    <w:rsid w:val="00A1210D"/>
    <w:rsid w:val="00A12317"/>
    <w:rsid w:val="00A1252F"/>
    <w:rsid w:val="00A13395"/>
    <w:rsid w:val="00A159EC"/>
    <w:rsid w:val="00A15ADA"/>
    <w:rsid w:val="00A16E08"/>
    <w:rsid w:val="00A16E2E"/>
    <w:rsid w:val="00A172A5"/>
    <w:rsid w:val="00A1751B"/>
    <w:rsid w:val="00A22C6B"/>
    <w:rsid w:val="00A25643"/>
    <w:rsid w:val="00A25877"/>
    <w:rsid w:val="00A26606"/>
    <w:rsid w:val="00A26C40"/>
    <w:rsid w:val="00A30216"/>
    <w:rsid w:val="00A3073F"/>
    <w:rsid w:val="00A31701"/>
    <w:rsid w:val="00A318DC"/>
    <w:rsid w:val="00A31D9D"/>
    <w:rsid w:val="00A32103"/>
    <w:rsid w:val="00A33641"/>
    <w:rsid w:val="00A35956"/>
    <w:rsid w:val="00A379FA"/>
    <w:rsid w:val="00A44B4A"/>
    <w:rsid w:val="00A47A62"/>
    <w:rsid w:val="00A47ED7"/>
    <w:rsid w:val="00A5091C"/>
    <w:rsid w:val="00A51E71"/>
    <w:rsid w:val="00A526C0"/>
    <w:rsid w:val="00A52B99"/>
    <w:rsid w:val="00A53274"/>
    <w:rsid w:val="00A5393A"/>
    <w:rsid w:val="00A53D0F"/>
    <w:rsid w:val="00A562B7"/>
    <w:rsid w:val="00A5640C"/>
    <w:rsid w:val="00A5663F"/>
    <w:rsid w:val="00A60212"/>
    <w:rsid w:val="00A6047B"/>
    <w:rsid w:val="00A65D94"/>
    <w:rsid w:val="00A66FDD"/>
    <w:rsid w:val="00A679AD"/>
    <w:rsid w:val="00A703C0"/>
    <w:rsid w:val="00A707C7"/>
    <w:rsid w:val="00A73F35"/>
    <w:rsid w:val="00A745CC"/>
    <w:rsid w:val="00A74B06"/>
    <w:rsid w:val="00A74BB9"/>
    <w:rsid w:val="00A74F88"/>
    <w:rsid w:val="00A75FF1"/>
    <w:rsid w:val="00A82A46"/>
    <w:rsid w:val="00A83BBF"/>
    <w:rsid w:val="00A85099"/>
    <w:rsid w:val="00A85D19"/>
    <w:rsid w:val="00A87B21"/>
    <w:rsid w:val="00A91719"/>
    <w:rsid w:val="00A94FEB"/>
    <w:rsid w:val="00A9588B"/>
    <w:rsid w:val="00AA012E"/>
    <w:rsid w:val="00AA0AAD"/>
    <w:rsid w:val="00AA158A"/>
    <w:rsid w:val="00AA2813"/>
    <w:rsid w:val="00AA3053"/>
    <w:rsid w:val="00AA34D8"/>
    <w:rsid w:val="00AA6B2E"/>
    <w:rsid w:val="00AA778C"/>
    <w:rsid w:val="00AB109C"/>
    <w:rsid w:val="00AB1456"/>
    <w:rsid w:val="00AB43C5"/>
    <w:rsid w:val="00AB5FBB"/>
    <w:rsid w:val="00AB6A87"/>
    <w:rsid w:val="00AB72CF"/>
    <w:rsid w:val="00AC33FB"/>
    <w:rsid w:val="00AC6C95"/>
    <w:rsid w:val="00AD0E7D"/>
    <w:rsid w:val="00AD1FB5"/>
    <w:rsid w:val="00AD57F1"/>
    <w:rsid w:val="00AE06BA"/>
    <w:rsid w:val="00AE3B04"/>
    <w:rsid w:val="00AE5621"/>
    <w:rsid w:val="00AE7793"/>
    <w:rsid w:val="00AF031A"/>
    <w:rsid w:val="00AF181D"/>
    <w:rsid w:val="00AF1D3C"/>
    <w:rsid w:val="00AF451F"/>
    <w:rsid w:val="00AF5168"/>
    <w:rsid w:val="00AF6002"/>
    <w:rsid w:val="00B00E42"/>
    <w:rsid w:val="00B02BDC"/>
    <w:rsid w:val="00B02D76"/>
    <w:rsid w:val="00B0492E"/>
    <w:rsid w:val="00B070F3"/>
    <w:rsid w:val="00B10945"/>
    <w:rsid w:val="00B10CC0"/>
    <w:rsid w:val="00B10E0A"/>
    <w:rsid w:val="00B159BD"/>
    <w:rsid w:val="00B203AF"/>
    <w:rsid w:val="00B21948"/>
    <w:rsid w:val="00B235E7"/>
    <w:rsid w:val="00B23719"/>
    <w:rsid w:val="00B2422E"/>
    <w:rsid w:val="00B24A41"/>
    <w:rsid w:val="00B24CB5"/>
    <w:rsid w:val="00B24E87"/>
    <w:rsid w:val="00B32781"/>
    <w:rsid w:val="00B34227"/>
    <w:rsid w:val="00B36569"/>
    <w:rsid w:val="00B37086"/>
    <w:rsid w:val="00B40CFE"/>
    <w:rsid w:val="00B40EF0"/>
    <w:rsid w:val="00B40F56"/>
    <w:rsid w:val="00B45343"/>
    <w:rsid w:val="00B47295"/>
    <w:rsid w:val="00B514AF"/>
    <w:rsid w:val="00B53DDB"/>
    <w:rsid w:val="00B549E7"/>
    <w:rsid w:val="00B5532B"/>
    <w:rsid w:val="00B5626E"/>
    <w:rsid w:val="00B57B73"/>
    <w:rsid w:val="00B57D32"/>
    <w:rsid w:val="00B642A7"/>
    <w:rsid w:val="00B64495"/>
    <w:rsid w:val="00B64836"/>
    <w:rsid w:val="00B67DB2"/>
    <w:rsid w:val="00B67E54"/>
    <w:rsid w:val="00B7099A"/>
    <w:rsid w:val="00B70EE8"/>
    <w:rsid w:val="00B73E3D"/>
    <w:rsid w:val="00B752F9"/>
    <w:rsid w:val="00B75E51"/>
    <w:rsid w:val="00B7646B"/>
    <w:rsid w:val="00B76732"/>
    <w:rsid w:val="00B77A25"/>
    <w:rsid w:val="00B808CB"/>
    <w:rsid w:val="00B84656"/>
    <w:rsid w:val="00B8677A"/>
    <w:rsid w:val="00B879DA"/>
    <w:rsid w:val="00B933E8"/>
    <w:rsid w:val="00B9393E"/>
    <w:rsid w:val="00B94BCC"/>
    <w:rsid w:val="00B96249"/>
    <w:rsid w:val="00BA054E"/>
    <w:rsid w:val="00BA13F3"/>
    <w:rsid w:val="00BA15AA"/>
    <w:rsid w:val="00BA1E0C"/>
    <w:rsid w:val="00BA27D9"/>
    <w:rsid w:val="00BA4735"/>
    <w:rsid w:val="00BA66E8"/>
    <w:rsid w:val="00BA68A9"/>
    <w:rsid w:val="00BA6C03"/>
    <w:rsid w:val="00BB1169"/>
    <w:rsid w:val="00BB32DF"/>
    <w:rsid w:val="00BB3D1D"/>
    <w:rsid w:val="00BB3DBE"/>
    <w:rsid w:val="00BB5117"/>
    <w:rsid w:val="00BB5633"/>
    <w:rsid w:val="00BB7848"/>
    <w:rsid w:val="00BC14FA"/>
    <w:rsid w:val="00BC2825"/>
    <w:rsid w:val="00BC3388"/>
    <w:rsid w:val="00BC434D"/>
    <w:rsid w:val="00BC4508"/>
    <w:rsid w:val="00BC4941"/>
    <w:rsid w:val="00BC6601"/>
    <w:rsid w:val="00BC6754"/>
    <w:rsid w:val="00BD0540"/>
    <w:rsid w:val="00BD0D47"/>
    <w:rsid w:val="00BD1752"/>
    <w:rsid w:val="00BD3F57"/>
    <w:rsid w:val="00BD5CFB"/>
    <w:rsid w:val="00BD5E59"/>
    <w:rsid w:val="00BD69CD"/>
    <w:rsid w:val="00BD7F0D"/>
    <w:rsid w:val="00BE0795"/>
    <w:rsid w:val="00BE08E7"/>
    <w:rsid w:val="00BE1061"/>
    <w:rsid w:val="00BE2DAD"/>
    <w:rsid w:val="00BE5350"/>
    <w:rsid w:val="00BE5EA3"/>
    <w:rsid w:val="00BF2EC9"/>
    <w:rsid w:val="00BF2ECF"/>
    <w:rsid w:val="00BF5B92"/>
    <w:rsid w:val="00BF6F9D"/>
    <w:rsid w:val="00BF7496"/>
    <w:rsid w:val="00C03130"/>
    <w:rsid w:val="00C04347"/>
    <w:rsid w:val="00C06978"/>
    <w:rsid w:val="00C120B3"/>
    <w:rsid w:val="00C128F7"/>
    <w:rsid w:val="00C12908"/>
    <w:rsid w:val="00C14097"/>
    <w:rsid w:val="00C16C8A"/>
    <w:rsid w:val="00C20D97"/>
    <w:rsid w:val="00C211D1"/>
    <w:rsid w:val="00C2235D"/>
    <w:rsid w:val="00C31C74"/>
    <w:rsid w:val="00C321E2"/>
    <w:rsid w:val="00C32ACE"/>
    <w:rsid w:val="00C33913"/>
    <w:rsid w:val="00C4147B"/>
    <w:rsid w:val="00C41874"/>
    <w:rsid w:val="00C41D25"/>
    <w:rsid w:val="00C435D7"/>
    <w:rsid w:val="00C50A0E"/>
    <w:rsid w:val="00C51922"/>
    <w:rsid w:val="00C55596"/>
    <w:rsid w:val="00C558CD"/>
    <w:rsid w:val="00C57D86"/>
    <w:rsid w:val="00C613A3"/>
    <w:rsid w:val="00C63447"/>
    <w:rsid w:val="00C65FE8"/>
    <w:rsid w:val="00C6732E"/>
    <w:rsid w:val="00C72178"/>
    <w:rsid w:val="00C72DD6"/>
    <w:rsid w:val="00C731CD"/>
    <w:rsid w:val="00C73687"/>
    <w:rsid w:val="00C74180"/>
    <w:rsid w:val="00C74F14"/>
    <w:rsid w:val="00C753E4"/>
    <w:rsid w:val="00C7751A"/>
    <w:rsid w:val="00C80E0E"/>
    <w:rsid w:val="00C8186B"/>
    <w:rsid w:val="00C83B03"/>
    <w:rsid w:val="00C83F84"/>
    <w:rsid w:val="00C8576B"/>
    <w:rsid w:val="00C8651F"/>
    <w:rsid w:val="00C90BD0"/>
    <w:rsid w:val="00C93514"/>
    <w:rsid w:val="00C94783"/>
    <w:rsid w:val="00C95AB0"/>
    <w:rsid w:val="00C96788"/>
    <w:rsid w:val="00C971B1"/>
    <w:rsid w:val="00C97375"/>
    <w:rsid w:val="00CA08EE"/>
    <w:rsid w:val="00CA0B42"/>
    <w:rsid w:val="00CA18D9"/>
    <w:rsid w:val="00CA3F80"/>
    <w:rsid w:val="00CA5B5D"/>
    <w:rsid w:val="00CA7A49"/>
    <w:rsid w:val="00CB1930"/>
    <w:rsid w:val="00CB4035"/>
    <w:rsid w:val="00CB4A2A"/>
    <w:rsid w:val="00CC02B2"/>
    <w:rsid w:val="00CD042A"/>
    <w:rsid w:val="00CD17D2"/>
    <w:rsid w:val="00CD19F2"/>
    <w:rsid w:val="00CD221C"/>
    <w:rsid w:val="00CD2F6C"/>
    <w:rsid w:val="00CD6BAE"/>
    <w:rsid w:val="00CE0862"/>
    <w:rsid w:val="00CE2DB7"/>
    <w:rsid w:val="00CE3C8C"/>
    <w:rsid w:val="00CE54BD"/>
    <w:rsid w:val="00CE61C8"/>
    <w:rsid w:val="00CE64C8"/>
    <w:rsid w:val="00CE7846"/>
    <w:rsid w:val="00CE7DDE"/>
    <w:rsid w:val="00CF0321"/>
    <w:rsid w:val="00CF040D"/>
    <w:rsid w:val="00CF5658"/>
    <w:rsid w:val="00CF5DD4"/>
    <w:rsid w:val="00CF702C"/>
    <w:rsid w:val="00D01794"/>
    <w:rsid w:val="00D01AB1"/>
    <w:rsid w:val="00D0281F"/>
    <w:rsid w:val="00D03F56"/>
    <w:rsid w:val="00D04E57"/>
    <w:rsid w:val="00D12BAF"/>
    <w:rsid w:val="00D139EF"/>
    <w:rsid w:val="00D16618"/>
    <w:rsid w:val="00D17E24"/>
    <w:rsid w:val="00D225D6"/>
    <w:rsid w:val="00D238B4"/>
    <w:rsid w:val="00D267FD"/>
    <w:rsid w:val="00D27892"/>
    <w:rsid w:val="00D31610"/>
    <w:rsid w:val="00D31F33"/>
    <w:rsid w:val="00D33555"/>
    <w:rsid w:val="00D33C52"/>
    <w:rsid w:val="00D345BC"/>
    <w:rsid w:val="00D346A7"/>
    <w:rsid w:val="00D36546"/>
    <w:rsid w:val="00D4075F"/>
    <w:rsid w:val="00D4173B"/>
    <w:rsid w:val="00D42CFB"/>
    <w:rsid w:val="00D441ED"/>
    <w:rsid w:val="00D447DD"/>
    <w:rsid w:val="00D44A54"/>
    <w:rsid w:val="00D44D13"/>
    <w:rsid w:val="00D45CF8"/>
    <w:rsid w:val="00D469B7"/>
    <w:rsid w:val="00D5175A"/>
    <w:rsid w:val="00D52373"/>
    <w:rsid w:val="00D55520"/>
    <w:rsid w:val="00D56958"/>
    <w:rsid w:val="00D6000A"/>
    <w:rsid w:val="00D6235B"/>
    <w:rsid w:val="00D62FC8"/>
    <w:rsid w:val="00D631C4"/>
    <w:rsid w:val="00D640E8"/>
    <w:rsid w:val="00D6471D"/>
    <w:rsid w:val="00D65CE1"/>
    <w:rsid w:val="00D6649C"/>
    <w:rsid w:val="00D71AC4"/>
    <w:rsid w:val="00D72148"/>
    <w:rsid w:val="00D73850"/>
    <w:rsid w:val="00D7667A"/>
    <w:rsid w:val="00D76730"/>
    <w:rsid w:val="00D77669"/>
    <w:rsid w:val="00D77B9A"/>
    <w:rsid w:val="00D81624"/>
    <w:rsid w:val="00D83C58"/>
    <w:rsid w:val="00D84564"/>
    <w:rsid w:val="00D848BE"/>
    <w:rsid w:val="00D85D6E"/>
    <w:rsid w:val="00D87323"/>
    <w:rsid w:val="00D91D39"/>
    <w:rsid w:val="00D94767"/>
    <w:rsid w:val="00D95CA2"/>
    <w:rsid w:val="00D97BB2"/>
    <w:rsid w:val="00DA17EB"/>
    <w:rsid w:val="00DA190E"/>
    <w:rsid w:val="00DA22EA"/>
    <w:rsid w:val="00DA32FB"/>
    <w:rsid w:val="00DB1765"/>
    <w:rsid w:val="00DB2259"/>
    <w:rsid w:val="00DB2364"/>
    <w:rsid w:val="00DB3965"/>
    <w:rsid w:val="00DB7570"/>
    <w:rsid w:val="00DC0880"/>
    <w:rsid w:val="00DC1366"/>
    <w:rsid w:val="00DC1F18"/>
    <w:rsid w:val="00DC2D1F"/>
    <w:rsid w:val="00DC33BA"/>
    <w:rsid w:val="00DC504B"/>
    <w:rsid w:val="00DC72DD"/>
    <w:rsid w:val="00DD2BA3"/>
    <w:rsid w:val="00DD36DB"/>
    <w:rsid w:val="00DD5C69"/>
    <w:rsid w:val="00DD5FE9"/>
    <w:rsid w:val="00DD65E9"/>
    <w:rsid w:val="00DE1EBF"/>
    <w:rsid w:val="00DE1FF4"/>
    <w:rsid w:val="00DE4480"/>
    <w:rsid w:val="00DE6089"/>
    <w:rsid w:val="00DF03C7"/>
    <w:rsid w:val="00DF1AA2"/>
    <w:rsid w:val="00DF2081"/>
    <w:rsid w:val="00DF33D4"/>
    <w:rsid w:val="00DF4104"/>
    <w:rsid w:val="00DF4405"/>
    <w:rsid w:val="00DF54A2"/>
    <w:rsid w:val="00DF5FFF"/>
    <w:rsid w:val="00DF6137"/>
    <w:rsid w:val="00DF7190"/>
    <w:rsid w:val="00E00D67"/>
    <w:rsid w:val="00E02CEB"/>
    <w:rsid w:val="00E03B41"/>
    <w:rsid w:val="00E05279"/>
    <w:rsid w:val="00E07754"/>
    <w:rsid w:val="00E07DFD"/>
    <w:rsid w:val="00E1027B"/>
    <w:rsid w:val="00E12693"/>
    <w:rsid w:val="00E152DC"/>
    <w:rsid w:val="00E15C13"/>
    <w:rsid w:val="00E200DF"/>
    <w:rsid w:val="00E2019E"/>
    <w:rsid w:val="00E201DC"/>
    <w:rsid w:val="00E20B98"/>
    <w:rsid w:val="00E233B7"/>
    <w:rsid w:val="00E23C5C"/>
    <w:rsid w:val="00E2411E"/>
    <w:rsid w:val="00E25205"/>
    <w:rsid w:val="00E25212"/>
    <w:rsid w:val="00E26F53"/>
    <w:rsid w:val="00E31A56"/>
    <w:rsid w:val="00E31D13"/>
    <w:rsid w:val="00E33B90"/>
    <w:rsid w:val="00E347A9"/>
    <w:rsid w:val="00E34A5B"/>
    <w:rsid w:val="00E36334"/>
    <w:rsid w:val="00E37393"/>
    <w:rsid w:val="00E37E4E"/>
    <w:rsid w:val="00E4200D"/>
    <w:rsid w:val="00E425CE"/>
    <w:rsid w:val="00E44632"/>
    <w:rsid w:val="00E454AA"/>
    <w:rsid w:val="00E46501"/>
    <w:rsid w:val="00E47124"/>
    <w:rsid w:val="00E50864"/>
    <w:rsid w:val="00E5137A"/>
    <w:rsid w:val="00E53DED"/>
    <w:rsid w:val="00E53EE1"/>
    <w:rsid w:val="00E54ABC"/>
    <w:rsid w:val="00E55CEB"/>
    <w:rsid w:val="00E654F1"/>
    <w:rsid w:val="00E6767D"/>
    <w:rsid w:val="00E701F8"/>
    <w:rsid w:val="00E72C46"/>
    <w:rsid w:val="00E73BDF"/>
    <w:rsid w:val="00E76374"/>
    <w:rsid w:val="00E80586"/>
    <w:rsid w:val="00E81E28"/>
    <w:rsid w:val="00E84054"/>
    <w:rsid w:val="00E84FDC"/>
    <w:rsid w:val="00E85A4A"/>
    <w:rsid w:val="00E86E7D"/>
    <w:rsid w:val="00E87880"/>
    <w:rsid w:val="00E90558"/>
    <w:rsid w:val="00E90A5B"/>
    <w:rsid w:val="00E91175"/>
    <w:rsid w:val="00E91202"/>
    <w:rsid w:val="00E92F08"/>
    <w:rsid w:val="00E9485D"/>
    <w:rsid w:val="00E95054"/>
    <w:rsid w:val="00E9768B"/>
    <w:rsid w:val="00EA06CE"/>
    <w:rsid w:val="00EA3DE6"/>
    <w:rsid w:val="00EB051B"/>
    <w:rsid w:val="00EB165F"/>
    <w:rsid w:val="00EB2918"/>
    <w:rsid w:val="00EB34D6"/>
    <w:rsid w:val="00EC0963"/>
    <w:rsid w:val="00EC11B8"/>
    <w:rsid w:val="00EC33DA"/>
    <w:rsid w:val="00EC3F98"/>
    <w:rsid w:val="00EC3F9C"/>
    <w:rsid w:val="00ED0499"/>
    <w:rsid w:val="00ED1740"/>
    <w:rsid w:val="00ED21F8"/>
    <w:rsid w:val="00ED2AC6"/>
    <w:rsid w:val="00ED618D"/>
    <w:rsid w:val="00EE1AC1"/>
    <w:rsid w:val="00EE4527"/>
    <w:rsid w:val="00EF2173"/>
    <w:rsid w:val="00EF4060"/>
    <w:rsid w:val="00EF4734"/>
    <w:rsid w:val="00F01964"/>
    <w:rsid w:val="00F02629"/>
    <w:rsid w:val="00F02FF5"/>
    <w:rsid w:val="00F04B3B"/>
    <w:rsid w:val="00F05274"/>
    <w:rsid w:val="00F10799"/>
    <w:rsid w:val="00F107B9"/>
    <w:rsid w:val="00F1300C"/>
    <w:rsid w:val="00F14BFD"/>
    <w:rsid w:val="00F15CD2"/>
    <w:rsid w:val="00F16FEC"/>
    <w:rsid w:val="00F17FE1"/>
    <w:rsid w:val="00F24754"/>
    <w:rsid w:val="00F25363"/>
    <w:rsid w:val="00F260CF"/>
    <w:rsid w:val="00F31986"/>
    <w:rsid w:val="00F349DA"/>
    <w:rsid w:val="00F34D0B"/>
    <w:rsid w:val="00F35F06"/>
    <w:rsid w:val="00F3714F"/>
    <w:rsid w:val="00F42201"/>
    <w:rsid w:val="00F438F0"/>
    <w:rsid w:val="00F44886"/>
    <w:rsid w:val="00F448F3"/>
    <w:rsid w:val="00F46A23"/>
    <w:rsid w:val="00F46B4E"/>
    <w:rsid w:val="00F47F8C"/>
    <w:rsid w:val="00F50884"/>
    <w:rsid w:val="00F50FCF"/>
    <w:rsid w:val="00F51E79"/>
    <w:rsid w:val="00F53BC7"/>
    <w:rsid w:val="00F56D03"/>
    <w:rsid w:val="00F57324"/>
    <w:rsid w:val="00F60A54"/>
    <w:rsid w:val="00F612BD"/>
    <w:rsid w:val="00F6278F"/>
    <w:rsid w:val="00F63738"/>
    <w:rsid w:val="00F639A4"/>
    <w:rsid w:val="00F658AE"/>
    <w:rsid w:val="00F65E36"/>
    <w:rsid w:val="00F667BC"/>
    <w:rsid w:val="00F66991"/>
    <w:rsid w:val="00F671F9"/>
    <w:rsid w:val="00F67C5D"/>
    <w:rsid w:val="00F71F8B"/>
    <w:rsid w:val="00F72CDB"/>
    <w:rsid w:val="00F736E7"/>
    <w:rsid w:val="00F74936"/>
    <w:rsid w:val="00F750EB"/>
    <w:rsid w:val="00F76016"/>
    <w:rsid w:val="00F76695"/>
    <w:rsid w:val="00F80F53"/>
    <w:rsid w:val="00F826CE"/>
    <w:rsid w:val="00F849C0"/>
    <w:rsid w:val="00F84D07"/>
    <w:rsid w:val="00F8607C"/>
    <w:rsid w:val="00F87847"/>
    <w:rsid w:val="00F9120C"/>
    <w:rsid w:val="00F93027"/>
    <w:rsid w:val="00F9364A"/>
    <w:rsid w:val="00F95252"/>
    <w:rsid w:val="00F96870"/>
    <w:rsid w:val="00F96E73"/>
    <w:rsid w:val="00F96F91"/>
    <w:rsid w:val="00FA1C04"/>
    <w:rsid w:val="00FA2068"/>
    <w:rsid w:val="00FA3AD7"/>
    <w:rsid w:val="00FA42B6"/>
    <w:rsid w:val="00FA79D8"/>
    <w:rsid w:val="00FA7AA2"/>
    <w:rsid w:val="00FB0CD2"/>
    <w:rsid w:val="00FB0D62"/>
    <w:rsid w:val="00FB1C39"/>
    <w:rsid w:val="00FB1C5B"/>
    <w:rsid w:val="00FB2D05"/>
    <w:rsid w:val="00FB3DAC"/>
    <w:rsid w:val="00FB4011"/>
    <w:rsid w:val="00FB4B6A"/>
    <w:rsid w:val="00FB4E1E"/>
    <w:rsid w:val="00FB6B1E"/>
    <w:rsid w:val="00FB6FF2"/>
    <w:rsid w:val="00FC1C2B"/>
    <w:rsid w:val="00FC467E"/>
    <w:rsid w:val="00FC6948"/>
    <w:rsid w:val="00FC7706"/>
    <w:rsid w:val="00FD04ED"/>
    <w:rsid w:val="00FD12CC"/>
    <w:rsid w:val="00FD1327"/>
    <w:rsid w:val="00FD3028"/>
    <w:rsid w:val="00FD4812"/>
    <w:rsid w:val="00FD6C73"/>
    <w:rsid w:val="00FE1E60"/>
    <w:rsid w:val="00FE3528"/>
    <w:rsid w:val="00FE3DFD"/>
    <w:rsid w:val="00FE7DDC"/>
    <w:rsid w:val="00FF17F7"/>
    <w:rsid w:val="00FF1C20"/>
    <w:rsid w:val="00FF261B"/>
    <w:rsid w:val="00FF2A1E"/>
    <w:rsid w:val="00FF31C8"/>
    <w:rsid w:val="00FF4FC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3FD4"/>
  <w15:docId w15:val="{09D22545-E5FE-4024-BCE0-F2754C70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18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E26F4"/>
    <w:pPr>
      <w:spacing w:after="80" w:line="240" w:lineRule="auto"/>
      <w:ind w:left="720"/>
      <w:contextualSpacing/>
    </w:pPr>
    <w:rPr>
      <w:rFonts w:eastAsiaTheme="minorEastAsia"/>
      <w:sz w:val="20"/>
      <w:szCs w:val="20"/>
    </w:rPr>
  </w:style>
  <w:style w:type="paragraph" w:customStyle="1" w:styleId="Listofreferences">
    <w:name w:val="List of references"/>
    <w:basedOn w:val="Normal"/>
    <w:link w:val="ListofreferencesChar"/>
    <w:qFormat/>
    <w:rsid w:val="002E26F4"/>
    <w:pPr>
      <w:spacing w:after="0" w:line="240" w:lineRule="auto"/>
      <w:ind w:left="851" w:hanging="851"/>
    </w:pPr>
    <w:rPr>
      <w:rFonts w:ascii="Times New Roman" w:hAnsi="Times New Roman"/>
      <w:sz w:val="24"/>
      <w:lang w:val="en-GB"/>
    </w:rPr>
  </w:style>
  <w:style w:type="character" w:customStyle="1" w:styleId="ListofreferencesChar">
    <w:name w:val="List of references Char"/>
    <w:basedOn w:val="DefaultParagraphFont"/>
    <w:link w:val="Listofreferences"/>
    <w:rsid w:val="002E26F4"/>
    <w:rPr>
      <w:rFonts w:ascii="Times New Roman" w:hAnsi="Times New Roman"/>
      <w:sz w:val="24"/>
      <w:lang w:val="en-GB"/>
    </w:rPr>
  </w:style>
  <w:style w:type="paragraph" w:styleId="FootnoteText">
    <w:name w:val="footnote text"/>
    <w:basedOn w:val="Normal"/>
    <w:link w:val="FootnoteTextChar"/>
    <w:uiPriority w:val="99"/>
    <w:unhideWhenUsed/>
    <w:rsid w:val="002E26F4"/>
    <w:pPr>
      <w:spacing w:after="0" w:line="240" w:lineRule="auto"/>
    </w:pPr>
    <w:rPr>
      <w:sz w:val="20"/>
      <w:szCs w:val="20"/>
    </w:rPr>
  </w:style>
  <w:style w:type="character" w:customStyle="1" w:styleId="FootnoteTextChar">
    <w:name w:val="Footnote Text Char"/>
    <w:basedOn w:val="DefaultParagraphFont"/>
    <w:link w:val="FootnoteText"/>
    <w:uiPriority w:val="99"/>
    <w:rsid w:val="002E26F4"/>
    <w:rPr>
      <w:sz w:val="20"/>
      <w:szCs w:val="20"/>
    </w:rPr>
  </w:style>
  <w:style w:type="character" w:styleId="FootnoteReference">
    <w:name w:val="footnote reference"/>
    <w:basedOn w:val="DefaultParagraphFont"/>
    <w:uiPriority w:val="99"/>
    <w:semiHidden/>
    <w:unhideWhenUsed/>
    <w:rsid w:val="002E26F4"/>
    <w:rPr>
      <w:vertAlign w:val="superscript"/>
    </w:rPr>
  </w:style>
  <w:style w:type="character" w:customStyle="1" w:styleId="Heading1Char">
    <w:name w:val="Heading 1 Char"/>
    <w:basedOn w:val="DefaultParagraphFont"/>
    <w:link w:val="Heading1"/>
    <w:uiPriority w:val="9"/>
    <w:rsid w:val="008718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18DD"/>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810E36"/>
    <w:pPr>
      <w:spacing w:after="0" w:line="240" w:lineRule="auto"/>
    </w:pPr>
  </w:style>
  <w:style w:type="character" w:styleId="CommentReference">
    <w:name w:val="annotation reference"/>
    <w:basedOn w:val="DefaultParagraphFont"/>
    <w:uiPriority w:val="99"/>
    <w:semiHidden/>
    <w:unhideWhenUsed/>
    <w:rsid w:val="00810E36"/>
    <w:rPr>
      <w:sz w:val="16"/>
      <w:szCs w:val="16"/>
    </w:rPr>
  </w:style>
  <w:style w:type="paragraph" w:styleId="CommentText">
    <w:name w:val="annotation text"/>
    <w:basedOn w:val="Normal"/>
    <w:link w:val="CommentTextChar"/>
    <w:uiPriority w:val="99"/>
    <w:unhideWhenUsed/>
    <w:rsid w:val="00810E36"/>
    <w:pPr>
      <w:spacing w:line="240" w:lineRule="auto"/>
    </w:pPr>
    <w:rPr>
      <w:sz w:val="20"/>
      <w:szCs w:val="20"/>
    </w:rPr>
  </w:style>
  <w:style w:type="character" w:customStyle="1" w:styleId="CommentTextChar">
    <w:name w:val="Comment Text Char"/>
    <w:basedOn w:val="DefaultParagraphFont"/>
    <w:link w:val="CommentText"/>
    <w:uiPriority w:val="99"/>
    <w:rsid w:val="00810E36"/>
    <w:rPr>
      <w:sz w:val="20"/>
      <w:szCs w:val="20"/>
    </w:rPr>
  </w:style>
  <w:style w:type="paragraph" w:styleId="CommentSubject">
    <w:name w:val="annotation subject"/>
    <w:basedOn w:val="CommentText"/>
    <w:next w:val="CommentText"/>
    <w:link w:val="CommentSubjectChar"/>
    <w:uiPriority w:val="99"/>
    <w:semiHidden/>
    <w:unhideWhenUsed/>
    <w:rsid w:val="00810E36"/>
    <w:rPr>
      <w:b/>
      <w:bCs/>
    </w:rPr>
  </w:style>
  <w:style w:type="character" w:customStyle="1" w:styleId="CommentSubjectChar">
    <w:name w:val="Comment Subject Char"/>
    <w:basedOn w:val="CommentTextChar"/>
    <w:link w:val="CommentSubject"/>
    <w:uiPriority w:val="99"/>
    <w:semiHidden/>
    <w:rsid w:val="00810E36"/>
    <w:rPr>
      <w:b/>
      <w:bCs/>
      <w:sz w:val="20"/>
      <w:szCs w:val="20"/>
    </w:rPr>
  </w:style>
  <w:style w:type="character" w:styleId="Hyperlink">
    <w:name w:val="Hyperlink"/>
    <w:basedOn w:val="DefaultParagraphFont"/>
    <w:uiPriority w:val="99"/>
    <w:unhideWhenUsed/>
    <w:rsid w:val="006C3320"/>
    <w:rPr>
      <w:color w:val="0563C1" w:themeColor="hyperlink"/>
      <w:u w:val="single"/>
    </w:rPr>
  </w:style>
  <w:style w:type="character" w:styleId="UnresolvedMention">
    <w:name w:val="Unresolved Mention"/>
    <w:basedOn w:val="DefaultParagraphFont"/>
    <w:uiPriority w:val="99"/>
    <w:semiHidden/>
    <w:unhideWhenUsed/>
    <w:rsid w:val="006C3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28982">
      <w:bodyDiv w:val="1"/>
      <w:marLeft w:val="0"/>
      <w:marRight w:val="0"/>
      <w:marTop w:val="0"/>
      <w:marBottom w:val="0"/>
      <w:divBdr>
        <w:top w:val="none" w:sz="0" w:space="0" w:color="auto"/>
        <w:left w:val="none" w:sz="0" w:space="0" w:color="auto"/>
        <w:bottom w:val="none" w:sz="0" w:space="0" w:color="auto"/>
        <w:right w:val="none" w:sz="0" w:space="0" w:color="auto"/>
      </w:divBdr>
    </w:div>
    <w:div w:id="912275802">
      <w:bodyDiv w:val="1"/>
      <w:marLeft w:val="0"/>
      <w:marRight w:val="0"/>
      <w:marTop w:val="0"/>
      <w:marBottom w:val="0"/>
      <w:divBdr>
        <w:top w:val="none" w:sz="0" w:space="0" w:color="auto"/>
        <w:left w:val="none" w:sz="0" w:space="0" w:color="auto"/>
        <w:bottom w:val="none" w:sz="0" w:space="0" w:color="auto"/>
        <w:right w:val="none" w:sz="0" w:space="0" w:color="auto"/>
      </w:divBdr>
    </w:div>
    <w:div w:id="1797867701">
      <w:bodyDiv w:val="1"/>
      <w:marLeft w:val="0"/>
      <w:marRight w:val="0"/>
      <w:marTop w:val="0"/>
      <w:marBottom w:val="0"/>
      <w:divBdr>
        <w:top w:val="none" w:sz="0" w:space="0" w:color="auto"/>
        <w:left w:val="none" w:sz="0" w:space="0" w:color="auto"/>
        <w:bottom w:val="none" w:sz="0" w:space="0" w:color="auto"/>
        <w:right w:val="none" w:sz="0" w:space="0" w:color="auto"/>
      </w:divBdr>
      <w:divsChild>
        <w:div w:id="265313034">
          <w:marLeft w:val="0"/>
          <w:marRight w:val="0"/>
          <w:marTop w:val="0"/>
          <w:marBottom w:val="0"/>
          <w:divBdr>
            <w:top w:val="none" w:sz="0" w:space="0" w:color="auto"/>
            <w:left w:val="none" w:sz="0" w:space="0" w:color="auto"/>
            <w:bottom w:val="none" w:sz="0" w:space="0" w:color="auto"/>
            <w:right w:val="none" w:sz="0" w:space="0" w:color="auto"/>
          </w:divBdr>
        </w:div>
        <w:div w:id="510606493">
          <w:marLeft w:val="0"/>
          <w:marRight w:val="0"/>
          <w:marTop w:val="0"/>
          <w:marBottom w:val="0"/>
          <w:divBdr>
            <w:top w:val="none" w:sz="0" w:space="0" w:color="auto"/>
            <w:left w:val="none" w:sz="0" w:space="0" w:color="auto"/>
            <w:bottom w:val="none" w:sz="0" w:space="0" w:color="auto"/>
            <w:right w:val="none" w:sz="0" w:space="0" w:color="auto"/>
          </w:divBdr>
        </w:div>
        <w:div w:id="615530181">
          <w:marLeft w:val="0"/>
          <w:marRight w:val="0"/>
          <w:marTop w:val="0"/>
          <w:marBottom w:val="0"/>
          <w:divBdr>
            <w:top w:val="none" w:sz="0" w:space="0" w:color="auto"/>
            <w:left w:val="none" w:sz="0" w:space="0" w:color="auto"/>
            <w:bottom w:val="none" w:sz="0" w:space="0" w:color="auto"/>
            <w:right w:val="none" w:sz="0" w:space="0" w:color="auto"/>
          </w:divBdr>
        </w:div>
        <w:div w:id="896359107">
          <w:marLeft w:val="0"/>
          <w:marRight w:val="0"/>
          <w:marTop w:val="0"/>
          <w:marBottom w:val="0"/>
          <w:divBdr>
            <w:top w:val="none" w:sz="0" w:space="0" w:color="auto"/>
            <w:left w:val="none" w:sz="0" w:space="0" w:color="auto"/>
            <w:bottom w:val="none" w:sz="0" w:space="0" w:color="auto"/>
            <w:right w:val="none" w:sz="0" w:space="0" w:color="auto"/>
          </w:divBdr>
        </w:div>
        <w:div w:id="1372921383">
          <w:marLeft w:val="0"/>
          <w:marRight w:val="0"/>
          <w:marTop w:val="0"/>
          <w:marBottom w:val="0"/>
          <w:divBdr>
            <w:top w:val="none" w:sz="0" w:space="0" w:color="auto"/>
            <w:left w:val="none" w:sz="0" w:space="0" w:color="auto"/>
            <w:bottom w:val="none" w:sz="0" w:space="0" w:color="auto"/>
            <w:right w:val="none" w:sz="0" w:space="0" w:color="auto"/>
          </w:divBdr>
        </w:div>
        <w:div w:id="15168487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papers.ssrn.com/sol3/papers.cfm?abstract_id=3397974"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ED9B28DC6ED9488ABB295DD8D414D2" ma:contentTypeVersion="13" ma:contentTypeDescription="Create a new document." ma:contentTypeScope="" ma:versionID="b3cc6315d1171aa5843c1c2e374b1e4b">
  <xsd:schema xmlns:xsd="http://www.w3.org/2001/XMLSchema" xmlns:xs="http://www.w3.org/2001/XMLSchema" xmlns:p="http://schemas.microsoft.com/office/2006/metadata/properties" xmlns:ns3="928f4001-f043-49b2-b50e-df999bdebaba" xmlns:ns4="417a87c5-24ff-4c01-bb3c-c11af4a4fba4" targetNamespace="http://schemas.microsoft.com/office/2006/metadata/properties" ma:root="true" ma:fieldsID="cc4ede2eabce9dc1ab307d45029a4c13" ns3:_="" ns4:_="">
    <xsd:import namespace="928f4001-f043-49b2-b50e-df999bdebaba"/>
    <xsd:import namespace="417a87c5-24ff-4c01-bb3c-c11af4a4fb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f4001-f043-49b2-b50e-df999bdeba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a87c5-24ff-4c01-bb3c-c11af4a4fb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6537D-AEF9-402E-89AB-FEBCF32E8D5E}">
  <ds:schemaRefs>
    <ds:schemaRef ds:uri="http://schemas.microsoft.com/sharepoint/v3/contenttype/forms"/>
  </ds:schemaRefs>
</ds:datastoreItem>
</file>

<file path=customXml/itemProps2.xml><?xml version="1.0" encoding="utf-8"?>
<ds:datastoreItem xmlns:ds="http://schemas.openxmlformats.org/officeDocument/2006/customXml" ds:itemID="{216F2CD3-AED0-4008-A082-EE943965E0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24B43F-AA00-4E09-81F7-7909FBB29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f4001-f043-49b2-b50e-df999bdebaba"/>
    <ds:schemaRef ds:uri="417a87c5-24ff-4c01-bb3c-c11af4a4f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A9728-9A62-46C6-A249-0BAAA635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Pages>
  <Words>4862</Words>
  <Characters>27717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Terletska</dc:creator>
  <cp:keywords/>
  <dc:description/>
  <cp:lastModifiedBy>Simi Simion</cp:lastModifiedBy>
  <cp:revision>3</cp:revision>
  <dcterms:created xsi:type="dcterms:W3CDTF">2023-09-30T11:20:00Z</dcterms:created>
  <dcterms:modified xsi:type="dcterms:W3CDTF">2023-11-01T20:10:00Z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cc6cd433-a80a-40d1-b7cf-681749116c7f</vt:lpwstr>
  </property>
  <property fmtid="{D5CDD505-2E9C-101B-9397-08002B2CF9AE}" pid="3" name="ContentTypeId">
    <vt:lpwstr>0x010100BCED9B28DC6ED9488ABB295DD8D414D2</vt:lpwstr>
  </property>
</Properties>
</file>